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3F82812B" w:rsidR="00814C95" w:rsidRPr="0090741A" w:rsidRDefault="00814C95" w:rsidP="000E287F">
      <w:pPr>
        <w:pStyle w:val="Heading1"/>
        <w:rPr>
          <w:sz w:val="22"/>
        </w:rPr>
      </w:pPr>
      <w:r w:rsidRPr="0090741A">
        <w:rPr>
          <w:rFonts w:eastAsia="Tahoma"/>
          <w:iCs/>
          <w:sz w:val="22"/>
        </w:rPr>
        <w:t xml:space="preserve">H. R. </w:t>
      </w:r>
      <w:r w:rsidR="00B26486">
        <w:rPr>
          <w:rFonts w:eastAsia="Tahoma"/>
          <w:iCs/>
          <w:sz w:val="22"/>
        </w:rPr>
        <w:t>4002</w:t>
      </w:r>
    </w:p>
    <w:p w14:paraId="4FFE4248" w14:textId="01C9DEEF" w:rsidR="00814C95" w:rsidRPr="0090741A" w:rsidRDefault="0025518E" w:rsidP="000E287F">
      <w:pPr>
        <w:pStyle w:val="Heading1"/>
        <w:rPr>
          <w:rFonts w:eastAsia="Tahoma"/>
          <w:b w:val="0"/>
          <w:iCs/>
          <w:sz w:val="22"/>
        </w:rPr>
      </w:pPr>
      <w:r w:rsidRPr="0090741A">
        <w:rPr>
          <w:b w:val="0"/>
          <w:sz w:val="22"/>
        </w:rPr>
        <w:t xml:space="preserve">Výbor: Výbor pro </w:t>
      </w:r>
      <w:r w:rsidR="00235875">
        <w:rPr>
          <w:b w:val="0"/>
          <w:sz w:val="22"/>
        </w:rPr>
        <w:t>vládní dohled</w:t>
      </w:r>
    </w:p>
    <w:p w14:paraId="072D7A72" w14:textId="0184A0C5" w:rsidR="00814C95" w:rsidRPr="0090741A" w:rsidRDefault="00814C95" w:rsidP="000E287F">
      <w:pPr>
        <w:pStyle w:val="Heading1"/>
        <w:rPr>
          <w:rFonts w:eastAsia="Tahoma"/>
          <w:iCs/>
          <w:sz w:val="22"/>
        </w:rPr>
      </w:pPr>
      <w:r w:rsidRPr="0090741A">
        <w:rPr>
          <w:rFonts w:eastAsia="Tahoma"/>
          <w:b w:val="0"/>
          <w:iCs/>
          <w:sz w:val="22"/>
        </w:rPr>
        <w:t xml:space="preserve">Název: </w:t>
      </w:r>
      <w:r w:rsidR="0025518E" w:rsidRPr="0090741A">
        <w:rPr>
          <w:rFonts w:eastAsia="Tahoma"/>
          <w:iCs/>
          <w:sz w:val="22"/>
        </w:rPr>
        <w:t>Zákon</w:t>
      </w:r>
      <w:r w:rsidR="00235875">
        <w:rPr>
          <w:rFonts w:eastAsia="Tahoma"/>
          <w:iCs/>
          <w:sz w:val="22"/>
        </w:rPr>
        <w:t xml:space="preserve"> o úpravě poměrů indiánských kmenů</w:t>
      </w:r>
    </w:p>
    <w:p w14:paraId="5F18A577" w14:textId="5C73C997" w:rsidR="00814C95" w:rsidRPr="0090741A" w:rsidRDefault="00814C95" w:rsidP="00814C95">
      <w:pPr>
        <w:jc w:val="center"/>
        <w:rPr>
          <w:b/>
          <w:sz w:val="28"/>
          <w:lang w:val="cs-CZ"/>
        </w:rPr>
      </w:pPr>
      <w:r w:rsidRPr="0090741A">
        <w:rPr>
          <w:b/>
          <w:sz w:val="28"/>
          <w:lang w:val="cs-CZ"/>
        </w:rPr>
        <w:t>Důvodová zpráva</w:t>
      </w:r>
    </w:p>
    <w:p w14:paraId="2FEA2E64" w14:textId="1DC0C40A" w:rsidR="001B3769" w:rsidRPr="0090741A" w:rsidRDefault="00DE5896" w:rsidP="000E287F">
      <w:pPr>
        <w:pStyle w:val="Heading1"/>
        <w:rPr>
          <w:sz w:val="24"/>
        </w:rPr>
      </w:pPr>
      <w:r w:rsidRPr="0090741A">
        <w:rPr>
          <w:sz w:val="24"/>
        </w:rPr>
        <w:t>Obecná část</w:t>
      </w:r>
    </w:p>
    <w:p w14:paraId="5FD27F5B" w14:textId="79B3C4EA" w:rsidR="00DE5896" w:rsidRPr="0090741A" w:rsidRDefault="00FA40DF" w:rsidP="0084650B">
      <w:pPr>
        <w:rPr>
          <w:sz w:val="22"/>
          <w:lang w:val="cs-CZ"/>
        </w:rPr>
      </w:pPr>
      <w:r w:rsidRPr="0090741A">
        <w:rPr>
          <w:sz w:val="22"/>
          <w:lang w:val="cs-CZ"/>
        </w:rPr>
        <w:t xml:space="preserve">Tento </w:t>
      </w:r>
      <w:r w:rsidR="0084650B" w:rsidRPr="0090741A">
        <w:rPr>
          <w:sz w:val="22"/>
          <w:lang w:val="cs-CZ"/>
        </w:rPr>
        <w:t>návrh zákona</w:t>
      </w:r>
      <w:r w:rsidRPr="0090741A">
        <w:rPr>
          <w:sz w:val="22"/>
          <w:lang w:val="cs-CZ"/>
        </w:rPr>
        <w:t xml:space="preserve"> </w:t>
      </w:r>
      <w:r w:rsidR="00235875">
        <w:rPr>
          <w:sz w:val="22"/>
          <w:lang w:val="cs-CZ"/>
        </w:rPr>
        <w:t>se věnuje problematice indiánských kmenů a indiánských rezervací</w:t>
      </w:r>
      <w:r w:rsidR="00B020B3" w:rsidRPr="0090741A">
        <w:rPr>
          <w:sz w:val="22"/>
          <w:lang w:val="cs-CZ"/>
        </w:rPr>
        <w:t>.</w:t>
      </w:r>
      <w:r w:rsidR="00235875">
        <w:rPr>
          <w:sz w:val="22"/>
          <w:lang w:val="cs-CZ"/>
        </w:rPr>
        <w:t xml:space="preserve"> Tato problematika byla dlouho opomíjena, což vyústilo ve velké množství problémů, které vyžadují řešení. Cílem tohoto zákona je zlepšit poměry v indiánských rezervacích a umožnit indiánským kmenům důstojnou existenci, na kterou mají nárok. </w:t>
      </w:r>
      <w:r w:rsidR="00B020B3" w:rsidRPr="0090741A">
        <w:rPr>
          <w:sz w:val="22"/>
          <w:lang w:val="cs-CZ"/>
        </w:rPr>
        <w:t xml:space="preserve"> </w:t>
      </w:r>
    </w:p>
    <w:p w14:paraId="79F1FB2E" w14:textId="43FD3406" w:rsidR="00DE5896" w:rsidRPr="0090741A" w:rsidRDefault="00DE5896" w:rsidP="000E287F">
      <w:pPr>
        <w:pStyle w:val="Heading1"/>
        <w:ind w:left="432" w:hanging="432"/>
        <w:rPr>
          <w:sz w:val="24"/>
        </w:rPr>
      </w:pPr>
      <w:r w:rsidRPr="0090741A">
        <w:rPr>
          <w:sz w:val="24"/>
        </w:rPr>
        <w:t>Zvláštní část</w:t>
      </w:r>
    </w:p>
    <w:p w14:paraId="15F7CB80" w14:textId="1E7675E9" w:rsidR="00642088" w:rsidRPr="005B53E4" w:rsidRDefault="00DE5896" w:rsidP="00642088">
      <w:pPr>
        <w:pStyle w:val="Heading2"/>
        <w:rPr>
          <w:sz w:val="22"/>
          <w:lang w:val="cs-CZ"/>
        </w:rPr>
      </w:pPr>
      <w:r w:rsidRPr="0090741A">
        <w:rPr>
          <w:sz w:val="22"/>
          <w:lang w:val="cs-CZ"/>
        </w:rPr>
        <w:t>Hlava I</w:t>
      </w:r>
      <w:r w:rsidR="000E287F" w:rsidRPr="005B53E4">
        <w:rPr>
          <w:sz w:val="22"/>
          <w:lang w:val="cs-CZ"/>
        </w:rPr>
        <w:t>.</w:t>
      </w:r>
    </w:p>
    <w:p w14:paraId="3583CB92" w14:textId="77777777" w:rsidR="00814C95" w:rsidRDefault="00642088" w:rsidP="00814C95">
      <w:pPr>
        <w:spacing w:before="240" w:after="0" w:line="360" w:lineRule="auto"/>
        <w:rPr>
          <w:b/>
          <w:sz w:val="22"/>
          <w:szCs w:val="24"/>
          <w:u w:val="single"/>
          <w:lang w:val="cs-CZ"/>
        </w:rPr>
      </w:pPr>
      <w:r w:rsidRPr="0090741A">
        <w:rPr>
          <w:b/>
          <w:sz w:val="22"/>
          <w:szCs w:val="24"/>
          <w:u w:val="single"/>
          <w:lang w:val="cs-CZ"/>
        </w:rPr>
        <w:t xml:space="preserve">Par. 101. </w:t>
      </w:r>
    </w:p>
    <w:p w14:paraId="1361AFB8" w14:textId="769A4A90" w:rsidR="00235875" w:rsidRDefault="00235875" w:rsidP="00B10AD9">
      <w:pPr>
        <w:spacing w:before="240" w:after="0" w:line="360" w:lineRule="auto"/>
        <w:rPr>
          <w:sz w:val="22"/>
          <w:szCs w:val="24"/>
          <w:lang w:val="cs-CZ"/>
        </w:rPr>
      </w:pPr>
      <w:r w:rsidRPr="00B10AD9">
        <w:rPr>
          <w:sz w:val="22"/>
          <w:szCs w:val="24"/>
          <w:lang w:val="cs-CZ"/>
        </w:rPr>
        <w:t>Současný proces federálního uznání indiánského kmene, které je nezbytné pro přiznání mnoha práv</w:t>
      </w:r>
      <w:r w:rsidR="00B10AD9" w:rsidRPr="00B10AD9">
        <w:rPr>
          <w:sz w:val="22"/>
          <w:szCs w:val="24"/>
          <w:lang w:val="cs-CZ"/>
        </w:rPr>
        <w:t xml:space="preserve">, je příliš složitý a zdlouhavý. Kongres nejdříve dává prostor výkonné moci pro nápravu tohoto stavu, než případně sám přikročí k řešení. </w:t>
      </w:r>
    </w:p>
    <w:p w14:paraId="73C16887" w14:textId="43BF5CC1" w:rsidR="00B10AD9" w:rsidRPr="00B10AD9" w:rsidRDefault="00B10AD9" w:rsidP="00B10AD9">
      <w:pPr>
        <w:spacing w:before="240" w:after="0" w:line="360" w:lineRule="auto"/>
        <w:rPr>
          <w:sz w:val="22"/>
          <w:szCs w:val="24"/>
          <w:lang w:val="cs-CZ"/>
        </w:rPr>
      </w:pPr>
      <w:r>
        <w:rPr>
          <w:sz w:val="22"/>
          <w:szCs w:val="24"/>
          <w:lang w:val="cs-CZ"/>
        </w:rPr>
        <w:t xml:space="preserve">Odstavec dva pak umožňuje, aby byl indiánský kmen uznán Kongresem. Čl. 1 odstavec 8 Ústavy svěřuje Kongresu regulaci obchodu s cizími národy, mezi jednotlivými státy a také s indiánskými kmeny. To naznačuje zvláštní povahu indiánských kmenů.  </w:t>
      </w:r>
      <w:r w:rsidR="00B67CC8">
        <w:rPr>
          <w:sz w:val="22"/>
          <w:szCs w:val="24"/>
          <w:lang w:val="cs-CZ"/>
        </w:rPr>
        <w:t xml:space="preserve">Je proto logické, aby Kongres měl také možnost uznat indiánský kmen, jakožto zvláštní suverénní entitu v rámci Spojených států. Převedení celého procesu uznávání na Kongres by bylo prakticky těžko proveditelné. Zvolené řešení je kompromisem, který umožní Kongresu zasáhnout v případech, kdy Úřad pro indiánské záležitosti například nekoná, nebo žádost bezdůvodně zamítl. </w:t>
      </w:r>
    </w:p>
    <w:p w14:paraId="178D5229" w14:textId="7903235C" w:rsidR="000E287F" w:rsidRPr="0090741A" w:rsidRDefault="00642088" w:rsidP="000E287F">
      <w:pPr>
        <w:pStyle w:val="Heading2"/>
        <w:rPr>
          <w:sz w:val="22"/>
          <w:lang w:val="cs-CZ"/>
        </w:rPr>
      </w:pPr>
      <w:r w:rsidRPr="0090741A">
        <w:rPr>
          <w:sz w:val="22"/>
          <w:lang w:val="cs-CZ"/>
        </w:rPr>
        <w:t>Hlava II</w:t>
      </w:r>
    </w:p>
    <w:p w14:paraId="6085CF2A" w14:textId="77777777" w:rsidR="00814C95" w:rsidRPr="0090741A" w:rsidRDefault="00642088" w:rsidP="00642088">
      <w:pPr>
        <w:rPr>
          <w:b/>
          <w:sz w:val="22"/>
          <w:lang w:val="cs-CZ"/>
        </w:rPr>
      </w:pPr>
      <w:r w:rsidRPr="0090741A">
        <w:rPr>
          <w:b/>
          <w:sz w:val="22"/>
          <w:u w:val="single"/>
          <w:lang w:val="cs-CZ"/>
        </w:rPr>
        <w:t>Par. 201.</w:t>
      </w:r>
      <w:r w:rsidR="0005189B" w:rsidRPr="0090741A">
        <w:rPr>
          <w:b/>
          <w:sz w:val="22"/>
          <w:lang w:val="cs-CZ"/>
        </w:rPr>
        <w:t xml:space="preserve"> </w:t>
      </w:r>
    </w:p>
    <w:p w14:paraId="33B0A649" w14:textId="6A3DF024" w:rsidR="001B1D34" w:rsidRPr="0090741A" w:rsidRDefault="007179BF" w:rsidP="00642088">
      <w:pPr>
        <w:rPr>
          <w:sz w:val="22"/>
          <w:lang w:val="cs-CZ"/>
        </w:rPr>
      </w:pPr>
      <w:r>
        <w:rPr>
          <w:sz w:val="22"/>
          <w:lang w:val="cs-CZ"/>
        </w:rPr>
        <w:t xml:space="preserve">Podfinancování zdravotní péče je velkým problémem pro federálně uznané indiánské kmeny. Toto ustanovení alokuje finanční prostředky tak, aby byla umožněna alespoň základní funkčnost Indian </w:t>
      </w:r>
      <w:proofErr w:type="spellStart"/>
      <w:r>
        <w:rPr>
          <w:sz w:val="22"/>
          <w:lang w:val="cs-CZ"/>
        </w:rPr>
        <w:t>Health</w:t>
      </w:r>
      <w:proofErr w:type="spellEnd"/>
      <w:r>
        <w:rPr>
          <w:sz w:val="22"/>
          <w:lang w:val="cs-CZ"/>
        </w:rPr>
        <w:t xml:space="preserve"> </w:t>
      </w:r>
      <w:proofErr w:type="spellStart"/>
      <w:r>
        <w:rPr>
          <w:sz w:val="22"/>
          <w:lang w:val="cs-CZ"/>
        </w:rPr>
        <w:t>Service</w:t>
      </w:r>
      <w:proofErr w:type="spellEnd"/>
      <w:r>
        <w:rPr>
          <w:sz w:val="22"/>
          <w:lang w:val="cs-CZ"/>
        </w:rPr>
        <w:t xml:space="preserve">. </w:t>
      </w:r>
      <w:bookmarkStart w:id="0" w:name="_GoBack"/>
      <w:bookmarkEnd w:id="0"/>
    </w:p>
    <w:p w14:paraId="2C3E5DF5" w14:textId="027AF4DF" w:rsidR="00642088" w:rsidRPr="0090741A" w:rsidRDefault="00642088" w:rsidP="000E287F">
      <w:pPr>
        <w:pStyle w:val="Heading2"/>
        <w:rPr>
          <w:sz w:val="22"/>
          <w:lang w:val="cs-CZ"/>
        </w:rPr>
      </w:pPr>
      <w:r w:rsidRPr="0090741A">
        <w:rPr>
          <w:sz w:val="22"/>
          <w:lang w:val="cs-CZ"/>
        </w:rPr>
        <w:lastRenderedPageBreak/>
        <w:t>Hlava III</w:t>
      </w:r>
    </w:p>
    <w:p w14:paraId="4121EBB1" w14:textId="2686C678" w:rsidR="003B2496" w:rsidRDefault="003B2496" w:rsidP="00925354">
      <w:pPr>
        <w:rPr>
          <w:rStyle w:val="Strong"/>
          <w:sz w:val="22"/>
          <w:u w:val="single"/>
          <w:lang w:val="cs-CZ"/>
        </w:rPr>
      </w:pPr>
      <w:r w:rsidRPr="0090741A">
        <w:rPr>
          <w:rStyle w:val="Strong"/>
          <w:sz w:val="22"/>
          <w:u w:val="single"/>
          <w:lang w:val="cs-CZ"/>
        </w:rPr>
        <w:t xml:space="preserve">Par. 301. </w:t>
      </w:r>
    </w:p>
    <w:p w14:paraId="149C1CE3" w14:textId="701135F0" w:rsidR="00E5445B" w:rsidRPr="00E5445B" w:rsidRDefault="00E5445B" w:rsidP="00925354">
      <w:pPr>
        <w:rPr>
          <w:bCs/>
          <w:sz w:val="22"/>
          <w:lang w:val="cs-CZ"/>
        </w:rPr>
      </w:pPr>
      <w:r w:rsidRPr="00E5445B">
        <w:rPr>
          <w:rStyle w:val="Strong"/>
          <w:b w:val="0"/>
          <w:sz w:val="22"/>
          <w:lang w:val="cs-CZ"/>
        </w:rPr>
        <w:t>Dalším p</w:t>
      </w:r>
      <w:r>
        <w:rPr>
          <w:rStyle w:val="Strong"/>
          <w:b w:val="0"/>
          <w:sz w:val="22"/>
          <w:lang w:val="cs-CZ"/>
        </w:rPr>
        <w:t>roblémem v indiánských rezervacích je malá úroveň vzdělání, která se pak promítá do dalších oblastí. Je však třeba respektovat, že vzdělání je primárně odpovědností jednotlivých států a popřípadě právě federálně uznaných indiánských kmenů.</w:t>
      </w:r>
      <w:r w:rsidR="00433D16">
        <w:rPr>
          <w:rStyle w:val="Strong"/>
          <w:b w:val="0"/>
          <w:sz w:val="22"/>
          <w:lang w:val="cs-CZ"/>
        </w:rPr>
        <w:t xml:space="preserve"> Federální zásahy by se proto měli omezit na finanční podporu prostřednictvím zvláštních fondů, či grantů. </w:t>
      </w:r>
    </w:p>
    <w:p w14:paraId="74B564DA" w14:textId="26DA5D72" w:rsidR="00EB160B" w:rsidRPr="0090741A" w:rsidRDefault="00EB160B" w:rsidP="00EB160B">
      <w:pPr>
        <w:pStyle w:val="Heading2"/>
        <w:rPr>
          <w:sz w:val="22"/>
          <w:lang w:val="cs-CZ"/>
        </w:rPr>
      </w:pPr>
      <w:r w:rsidRPr="0090741A">
        <w:rPr>
          <w:sz w:val="22"/>
          <w:lang w:val="cs-CZ"/>
        </w:rPr>
        <w:t>Hlava IV</w:t>
      </w:r>
    </w:p>
    <w:p w14:paraId="2C87E6FE" w14:textId="4CDBE265" w:rsidR="00EB160B" w:rsidRPr="0090741A" w:rsidRDefault="00EB160B" w:rsidP="001166D8">
      <w:pPr>
        <w:rPr>
          <w:b/>
          <w:sz w:val="22"/>
          <w:u w:val="single"/>
          <w:lang w:val="cs-CZ"/>
        </w:rPr>
      </w:pPr>
      <w:r w:rsidRPr="0090741A">
        <w:rPr>
          <w:b/>
          <w:sz w:val="22"/>
          <w:u w:val="single"/>
          <w:lang w:val="cs-CZ"/>
        </w:rPr>
        <w:t xml:space="preserve">Par. 401. </w:t>
      </w:r>
    </w:p>
    <w:p w14:paraId="2A892DD6" w14:textId="7CF106DD" w:rsidR="00EB160B" w:rsidRPr="0090741A" w:rsidRDefault="00443AF3" w:rsidP="00EB160B">
      <w:pPr>
        <w:rPr>
          <w:sz w:val="22"/>
          <w:lang w:val="cs-CZ"/>
        </w:rPr>
      </w:pPr>
      <w:r>
        <w:rPr>
          <w:sz w:val="22"/>
          <w:lang w:val="cs-CZ"/>
        </w:rPr>
        <w:t xml:space="preserve">Kriminalita je dlouhodobě jedním z nejcitlivějších témat spojených s indiánskými rezervacemi. Přesto jí však nebyla v minulosti věnována adekvátní pozornost. Toto ustanovení nemá ambice problém okamžitě vyřešit, jeho cílem je začít veřejnou debatu a </w:t>
      </w:r>
      <w:r w:rsidR="00A8139E">
        <w:rPr>
          <w:sz w:val="22"/>
          <w:lang w:val="cs-CZ"/>
        </w:rPr>
        <w:t xml:space="preserve">přimět exekutivu, aby se problematikou také zabývala. Zvláště má být přezkoumána možnost přenesení jurisdikce nad obyvateli rezervací na státy Unie, která je jedním z možných přístupů k problému. </w:t>
      </w:r>
    </w:p>
    <w:p w14:paraId="50622B90" w14:textId="7FC07BF9" w:rsidR="00EB160B" w:rsidRPr="0090741A" w:rsidRDefault="00EB160B" w:rsidP="00EB160B">
      <w:pPr>
        <w:pStyle w:val="Heading2"/>
        <w:rPr>
          <w:sz w:val="22"/>
          <w:lang w:val="cs-CZ"/>
        </w:rPr>
      </w:pPr>
      <w:r w:rsidRPr="0090741A">
        <w:rPr>
          <w:sz w:val="22"/>
          <w:lang w:val="cs-CZ"/>
        </w:rPr>
        <w:t xml:space="preserve">Hlava V </w:t>
      </w:r>
    </w:p>
    <w:p w14:paraId="223FAC44" w14:textId="052EF5E9" w:rsidR="005E6F60" w:rsidRPr="0090741A" w:rsidRDefault="00EB160B" w:rsidP="00EB160B">
      <w:pPr>
        <w:rPr>
          <w:b/>
          <w:sz w:val="22"/>
          <w:u w:val="single"/>
          <w:lang w:val="cs-CZ"/>
        </w:rPr>
      </w:pPr>
      <w:r w:rsidRPr="0090741A">
        <w:rPr>
          <w:b/>
          <w:sz w:val="22"/>
          <w:u w:val="single"/>
          <w:lang w:val="cs-CZ"/>
        </w:rPr>
        <w:t xml:space="preserve">Par. 501. </w:t>
      </w:r>
    </w:p>
    <w:p w14:paraId="759C90E2" w14:textId="6F628CAD" w:rsidR="00EB160B" w:rsidRDefault="00C51F78" w:rsidP="005E6F60">
      <w:pPr>
        <w:rPr>
          <w:sz w:val="22"/>
          <w:lang w:val="cs-CZ"/>
        </w:rPr>
      </w:pPr>
      <w:r>
        <w:rPr>
          <w:sz w:val="22"/>
          <w:lang w:val="cs-CZ"/>
        </w:rPr>
        <w:t xml:space="preserve">Délka a administrativní náročnost povolovacího procesu v případech nakládání s půdou </w:t>
      </w:r>
      <w:r w:rsidR="00035E1C">
        <w:rPr>
          <w:sz w:val="22"/>
          <w:lang w:val="cs-CZ"/>
        </w:rPr>
        <w:t xml:space="preserve">je jednou z velkých překážek rozvoje indiánských rezervací. </w:t>
      </w:r>
      <w:r w:rsidR="005E6F60" w:rsidRPr="0090741A">
        <w:rPr>
          <w:sz w:val="22"/>
          <w:lang w:val="cs-CZ"/>
        </w:rPr>
        <w:t xml:space="preserve"> </w:t>
      </w:r>
      <w:r w:rsidR="00035E1C">
        <w:rPr>
          <w:sz w:val="22"/>
          <w:lang w:val="cs-CZ"/>
        </w:rPr>
        <w:t xml:space="preserve">Preferovaným řešením je, aby Úřad pro indiánské záležitosti a exekutiva přišli s potřebnými reformami vedoucími k zjednodušení tohoto procesu. Pokud by k tomu však do r. 2020 nebyl tento cíl naplněn (to bude příslušet posouzení Kongresu), tak ex lege dojde k přechodu půdy </w:t>
      </w:r>
      <w:r w:rsidR="00992D42">
        <w:rPr>
          <w:sz w:val="22"/>
          <w:lang w:val="cs-CZ"/>
        </w:rPr>
        <w:t xml:space="preserve">držené federální vládou na indiánské kmeny žijící v rezervacích. </w:t>
      </w:r>
    </w:p>
    <w:p w14:paraId="77C30C79" w14:textId="56039EAC" w:rsidR="00AA6420" w:rsidRPr="00AA6420" w:rsidRDefault="00F57BAD" w:rsidP="00AA6420">
      <w:pPr>
        <w:pStyle w:val="Heading2"/>
        <w:rPr>
          <w:sz w:val="22"/>
          <w:lang w:val="cs-CZ"/>
        </w:rPr>
      </w:pPr>
      <w:r>
        <w:rPr>
          <w:sz w:val="22"/>
          <w:lang w:val="cs-CZ"/>
        </w:rPr>
        <w:t>Hlava VI</w:t>
      </w:r>
    </w:p>
    <w:p w14:paraId="6D3EA0D9" w14:textId="6CF236F3" w:rsidR="00AA6420" w:rsidRDefault="00AA6420" w:rsidP="00AA6420">
      <w:pPr>
        <w:rPr>
          <w:b/>
          <w:sz w:val="22"/>
          <w:u w:val="single"/>
          <w:lang w:val="cs-CZ"/>
        </w:rPr>
      </w:pPr>
      <w:r w:rsidRPr="00AA6420">
        <w:rPr>
          <w:b/>
          <w:sz w:val="22"/>
          <w:u w:val="single"/>
          <w:lang w:val="cs-CZ"/>
        </w:rPr>
        <w:t xml:space="preserve">Par. 601 </w:t>
      </w:r>
    </w:p>
    <w:p w14:paraId="2332F1DA" w14:textId="56E0C8CF" w:rsidR="00AA6420" w:rsidRDefault="00B66880" w:rsidP="00AA6420">
      <w:pPr>
        <w:rPr>
          <w:sz w:val="22"/>
          <w:lang w:val="cs-CZ"/>
        </w:rPr>
      </w:pPr>
      <w:r>
        <w:rPr>
          <w:sz w:val="22"/>
          <w:lang w:val="cs-CZ"/>
        </w:rPr>
        <w:t xml:space="preserve">Dohody zakotvené v tomto ustanovení mají přispět k rozvoji indiánských kmenů. Jsou projevem individuálního přístupu k jednotlivým kmenům. </w:t>
      </w:r>
    </w:p>
    <w:p w14:paraId="3AC26038" w14:textId="77777777" w:rsidR="00F57BAD" w:rsidRPr="00AA6420" w:rsidRDefault="00F57BAD" w:rsidP="00AA6420">
      <w:pPr>
        <w:rPr>
          <w:sz w:val="22"/>
          <w:lang w:val="cs-CZ"/>
        </w:rPr>
      </w:pPr>
    </w:p>
    <w:sectPr w:rsidR="00F57BAD" w:rsidRPr="00AA6420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A77FD" w14:textId="77777777" w:rsidR="00561E1B" w:rsidRDefault="00561E1B" w:rsidP="00E14C9D">
      <w:pPr>
        <w:spacing w:after="0" w:line="240" w:lineRule="auto"/>
      </w:pPr>
      <w:r>
        <w:separator/>
      </w:r>
    </w:p>
  </w:endnote>
  <w:endnote w:type="continuationSeparator" w:id="0">
    <w:p w14:paraId="6BD1B90A" w14:textId="77777777" w:rsidR="00561E1B" w:rsidRDefault="00561E1B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EC523B7">
              <wp:simplePos x="0" y="0"/>
              <wp:positionH relativeFrom="column">
                <wp:posOffset>-913130</wp:posOffset>
              </wp:positionH>
              <wp:positionV relativeFrom="paragraph">
                <wp:posOffset>-160655</wp:posOffset>
              </wp:positionV>
              <wp:extent cx="7562850" cy="840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03B8B" w14:textId="3BF7DD8D" w:rsidR="00B26486" w:rsidRPr="002B5E0E" w:rsidRDefault="00B26486" w:rsidP="00B26486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</w:t>
                          </w:r>
                          <w:r>
                            <w:t xml:space="preserve"> Jakub Lorenc</w:t>
                          </w:r>
                          <w:r>
                            <w:t>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524732AF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9pt;margin-top:-12.6pt;width:595.5pt;height:6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" filled="f" stroked="f">
              <v:textbox>
                <w:txbxContent>
                  <w:p w14:paraId="10703B8B" w14:textId="3BF7DD8D" w:rsidR="00B26486" w:rsidRPr="002B5E0E" w:rsidRDefault="00B26486" w:rsidP="00B26486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Jakub Lorenc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524732AF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445A1" w14:textId="77777777" w:rsidR="00561E1B" w:rsidRDefault="00561E1B" w:rsidP="00E14C9D">
      <w:pPr>
        <w:spacing w:after="0" w:line="240" w:lineRule="auto"/>
      </w:pPr>
      <w:r>
        <w:separator/>
      </w:r>
    </w:p>
  </w:footnote>
  <w:footnote w:type="continuationSeparator" w:id="0">
    <w:p w14:paraId="7939E382" w14:textId="77777777" w:rsidR="00561E1B" w:rsidRDefault="00561E1B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82B5409"/>
    <w:multiLevelType w:val="hybridMultilevel"/>
    <w:tmpl w:val="86F04E62"/>
    <w:lvl w:ilvl="0" w:tplc="9B861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8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20"/>
  </w:num>
  <w:num w:numId="9">
    <w:abstractNumId w:val="19"/>
  </w:num>
  <w:num w:numId="10">
    <w:abstractNumId w:val="13"/>
  </w:num>
  <w:num w:numId="11">
    <w:abstractNumId w:val="0"/>
  </w:num>
  <w:num w:numId="12">
    <w:abstractNumId w:val="21"/>
  </w:num>
  <w:num w:numId="13">
    <w:abstractNumId w:val="3"/>
  </w:num>
  <w:num w:numId="14">
    <w:abstractNumId w:val="4"/>
  </w:num>
  <w:num w:numId="15">
    <w:abstractNumId w:val="15"/>
  </w:num>
  <w:num w:numId="16">
    <w:abstractNumId w:val="16"/>
  </w:num>
  <w:num w:numId="17">
    <w:abstractNumId w:val="9"/>
  </w:num>
  <w:num w:numId="18">
    <w:abstractNumId w:val="1"/>
  </w:num>
  <w:num w:numId="19">
    <w:abstractNumId w:val="14"/>
  </w:num>
  <w:num w:numId="20">
    <w:abstractNumId w:val="10"/>
  </w:num>
  <w:num w:numId="21">
    <w:abstractNumId w:val="22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35E1C"/>
    <w:rsid w:val="00045B4D"/>
    <w:rsid w:val="00046BCA"/>
    <w:rsid w:val="00047B7E"/>
    <w:rsid w:val="00050369"/>
    <w:rsid w:val="0005189B"/>
    <w:rsid w:val="0008036F"/>
    <w:rsid w:val="00086807"/>
    <w:rsid w:val="00090937"/>
    <w:rsid w:val="00090F83"/>
    <w:rsid w:val="0009656C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04CE9"/>
    <w:rsid w:val="001166D8"/>
    <w:rsid w:val="00122771"/>
    <w:rsid w:val="00135079"/>
    <w:rsid w:val="00136844"/>
    <w:rsid w:val="0015528C"/>
    <w:rsid w:val="00170529"/>
    <w:rsid w:val="001754C6"/>
    <w:rsid w:val="00190E0B"/>
    <w:rsid w:val="001A3ABF"/>
    <w:rsid w:val="001A65B3"/>
    <w:rsid w:val="001A67D3"/>
    <w:rsid w:val="001B1D34"/>
    <w:rsid w:val="001B3769"/>
    <w:rsid w:val="001B3DB7"/>
    <w:rsid w:val="001D0119"/>
    <w:rsid w:val="001D64E8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35875"/>
    <w:rsid w:val="00240289"/>
    <w:rsid w:val="002403A0"/>
    <w:rsid w:val="0025518E"/>
    <w:rsid w:val="00261737"/>
    <w:rsid w:val="00262BAA"/>
    <w:rsid w:val="00263378"/>
    <w:rsid w:val="00280FA0"/>
    <w:rsid w:val="00281587"/>
    <w:rsid w:val="00294D79"/>
    <w:rsid w:val="002B1ABA"/>
    <w:rsid w:val="002B2130"/>
    <w:rsid w:val="002B4D65"/>
    <w:rsid w:val="002B6AD3"/>
    <w:rsid w:val="002C2A54"/>
    <w:rsid w:val="002D5948"/>
    <w:rsid w:val="002E0927"/>
    <w:rsid w:val="002E1130"/>
    <w:rsid w:val="002E5E96"/>
    <w:rsid w:val="002F4E94"/>
    <w:rsid w:val="002F69A8"/>
    <w:rsid w:val="00301A8F"/>
    <w:rsid w:val="003124E1"/>
    <w:rsid w:val="00313884"/>
    <w:rsid w:val="00332527"/>
    <w:rsid w:val="00337209"/>
    <w:rsid w:val="00347CF5"/>
    <w:rsid w:val="003548C2"/>
    <w:rsid w:val="00355D3D"/>
    <w:rsid w:val="0035741A"/>
    <w:rsid w:val="003705C7"/>
    <w:rsid w:val="00370696"/>
    <w:rsid w:val="003819EA"/>
    <w:rsid w:val="0038657B"/>
    <w:rsid w:val="003942E6"/>
    <w:rsid w:val="0039705D"/>
    <w:rsid w:val="003A7812"/>
    <w:rsid w:val="003B2496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33D16"/>
    <w:rsid w:val="00442F4E"/>
    <w:rsid w:val="00443AF3"/>
    <w:rsid w:val="00454B82"/>
    <w:rsid w:val="004643FB"/>
    <w:rsid w:val="004675FC"/>
    <w:rsid w:val="004713F2"/>
    <w:rsid w:val="00471934"/>
    <w:rsid w:val="00492778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5300"/>
    <w:rsid w:val="004F6633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1E1B"/>
    <w:rsid w:val="005648BA"/>
    <w:rsid w:val="00571420"/>
    <w:rsid w:val="005771DC"/>
    <w:rsid w:val="005901ED"/>
    <w:rsid w:val="00590A69"/>
    <w:rsid w:val="00594CBF"/>
    <w:rsid w:val="00595C1B"/>
    <w:rsid w:val="005A13AF"/>
    <w:rsid w:val="005A2032"/>
    <w:rsid w:val="005A5CA7"/>
    <w:rsid w:val="005B53E4"/>
    <w:rsid w:val="005E6F60"/>
    <w:rsid w:val="00605608"/>
    <w:rsid w:val="006108CA"/>
    <w:rsid w:val="00613761"/>
    <w:rsid w:val="00616736"/>
    <w:rsid w:val="00617946"/>
    <w:rsid w:val="00642088"/>
    <w:rsid w:val="006457BF"/>
    <w:rsid w:val="0067306D"/>
    <w:rsid w:val="006755AC"/>
    <w:rsid w:val="00676EE6"/>
    <w:rsid w:val="006775D3"/>
    <w:rsid w:val="00683AB7"/>
    <w:rsid w:val="006841A9"/>
    <w:rsid w:val="00697CE6"/>
    <w:rsid w:val="006A6429"/>
    <w:rsid w:val="006B72F3"/>
    <w:rsid w:val="006C16F4"/>
    <w:rsid w:val="006D057F"/>
    <w:rsid w:val="006D7795"/>
    <w:rsid w:val="006E1F3C"/>
    <w:rsid w:val="006F2CFE"/>
    <w:rsid w:val="006F5428"/>
    <w:rsid w:val="00705D29"/>
    <w:rsid w:val="00713733"/>
    <w:rsid w:val="007179BF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C7F06"/>
    <w:rsid w:val="007D0DB1"/>
    <w:rsid w:val="007D718F"/>
    <w:rsid w:val="008079C2"/>
    <w:rsid w:val="00814C95"/>
    <w:rsid w:val="00835750"/>
    <w:rsid w:val="008454B8"/>
    <w:rsid w:val="0084650B"/>
    <w:rsid w:val="00852037"/>
    <w:rsid w:val="008558FD"/>
    <w:rsid w:val="00855FB6"/>
    <w:rsid w:val="00857F89"/>
    <w:rsid w:val="00863CB7"/>
    <w:rsid w:val="008726C7"/>
    <w:rsid w:val="00874289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0741A"/>
    <w:rsid w:val="00910ABD"/>
    <w:rsid w:val="00911CD8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3590"/>
    <w:rsid w:val="00987BA5"/>
    <w:rsid w:val="00992D42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139E"/>
    <w:rsid w:val="00A846B3"/>
    <w:rsid w:val="00A9330F"/>
    <w:rsid w:val="00AA5381"/>
    <w:rsid w:val="00AA6420"/>
    <w:rsid w:val="00AB3571"/>
    <w:rsid w:val="00AC29AD"/>
    <w:rsid w:val="00AD0CF5"/>
    <w:rsid w:val="00AE47A7"/>
    <w:rsid w:val="00AE6C80"/>
    <w:rsid w:val="00AF2748"/>
    <w:rsid w:val="00B020B3"/>
    <w:rsid w:val="00B10AD9"/>
    <w:rsid w:val="00B24C88"/>
    <w:rsid w:val="00B26486"/>
    <w:rsid w:val="00B51827"/>
    <w:rsid w:val="00B55141"/>
    <w:rsid w:val="00B56C2B"/>
    <w:rsid w:val="00B65198"/>
    <w:rsid w:val="00B66880"/>
    <w:rsid w:val="00B675C8"/>
    <w:rsid w:val="00B67CC8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26A4"/>
    <w:rsid w:val="00C00E92"/>
    <w:rsid w:val="00C24C0F"/>
    <w:rsid w:val="00C30C46"/>
    <w:rsid w:val="00C341BE"/>
    <w:rsid w:val="00C51F78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3840"/>
    <w:rsid w:val="00E5445B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0D84"/>
    <w:rsid w:val="00EA3932"/>
    <w:rsid w:val="00EA3EA4"/>
    <w:rsid w:val="00EA5C3A"/>
    <w:rsid w:val="00EB160B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225A"/>
    <w:rsid w:val="00F450CB"/>
    <w:rsid w:val="00F52752"/>
    <w:rsid w:val="00F57BAD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B26486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sz w:val="22"/>
      <w:lang w:val="cs-CZ"/>
    </w:rPr>
  </w:style>
  <w:style w:type="character" w:customStyle="1" w:styleId="PatikaChar">
    <w:name w:val="Patička Char"/>
    <w:basedOn w:val="DefaultParagraphFont"/>
    <w:link w:val="Patika"/>
    <w:rsid w:val="00B26486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82AB-BD00-46CA-A0B2-12765C4D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BF745-050F-C647-A81E-A5FBEFE0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451</Words>
  <Characters>2609</Characters>
  <Application>Microsoft Macintosh Word</Application>
  <DocSecurity>0</DocSecurity>
  <Lines>65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Adam Westlake</cp:lastModifiedBy>
  <cp:revision>13</cp:revision>
  <dcterms:created xsi:type="dcterms:W3CDTF">2018-02-25T12:38:00Z</dcterms:created>
  <dcterms:modified xsi:type="dcterms:W3CDTF">2018-08-28T18:44:00Z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