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CBF12" w14:textId="57C163E3" w:rsidR="005E12FD" w:rsidRDefault="00DA5A78" w:rsidP="00C16CBD">
      <w:pPr>
        <w:pStyle w:val="Heading1"/>
        <w:ind w:left="0" w:firstLine="0"/>
        <w:rPr>
          <w:sz w:val="24"/>
          <w:szCs w:val="24"/>
        </w:rPr>
      </w:pPr>
      <w:r>
        <w:rPr>
          <w:sz w:val="24"/>
          <w:szCs w:val="24"/>
        </w:rPr>
        <w:t>H. R. 1</w:t>
      </w:r>
      <w:bookmarkStart w:id="0" w:name="_GoBack"/>
      <w:bookmarkEnd w:id="0"/>
      <w:r w:rsidR="006605BC">
        <w:rPr>
          <w:sz w:val="24"/>
          <w:szCs w:val="24"/>
        </w:rPr>
        <w:t>002</w:t>
      </w:r>
    </w:p>
    <w:p w14:paraId="34EAED82" w14:textId="77777777" w:rsidR="005E12FD" w:rsidRDefault="006605BC" w:rsidP="00C16CBD">
      <w:pPr>
        <w:pStyle w:val="Heading1"/>
        <w:ind w:left="0" w:firstLine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Výbor: Výbor </w:t>
      </w:r>
      <w:r w:rsidRPr="00CC052C">
        <w:rPr>
          <w:b w:val="0"/>
          <w:sz w:val="24"/>
          <w:szCs w:val="24"/>
        </w:rPr>
        <w:t>pr</w:t>
      </w:r>
      <w:r w:rsidR="00575288" w:rsidRPr="00CC052C">
        <w:rPr>
          <w:rFonts w:cs="Arial"/>
          <w:b w:val="0"/>
          <w:sz w:val="24"/>
          <w:szCs w:val="24"/>
        </w:rPr>
        <w:t>o energetiku a hospodářství</w:t>
      </w:r>
    </w:p>
    <w:p w14:paraId="33A65125" w14:textId="77777777" w:rsidR="005E12FD" w:rsidRDefault="006605BC" w:rsidP="00C16CBD">
      <w:pPr>
        <w:pStyle w:val="Heading1"/>
        <w:ind w:left="0" w:firstLine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Název: </w:t>
      </w:r>
      <w:r>
        <w:rPr>
          <w:sz w:val="24"/>
          <w:szCs w:val="24"/>
        </w:rPr>
        <w:t>Zákon o nakládání s radioaktivním odpadem</w:t>
      </w:r>
    </w:p>
    <w:p w14:paraId="0E83C5C5" w14:textId="77777777" w:rsidR="005E12FD" w:rsidRDefault="006605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Důvodová zpráva</w:t>
      </w:r>
    </w:p>
    <w:p w14:paraId="7046DB6C" w14:textId="77777777" w:rsidR="005E12FD" w:rsidRDefault="006605BC" w:rsidP="00C16CBD">
      <w:pPr>
        <w:pStyle w:val="Heading1"/>
        <w:ind w:left="0" w:firstLine="0"/>
        <w:rPr>
          <w:sz w:val="28"/>
          <w:szCs w:val="28"/>
        </w:rPr>
      </w:pPr>
      <w:r>
        <w:rPr>
          <w:sz w:val="28"/>
          <w:szCs w:val="28"/>
        </w:rPr>
        <w:t>Obecná část</w:t>
      </w:r>
    </w:p>
    <w:p w14:paraId="695CBBAA" w14:textId="77777777" w:rsidR="005E12FD" w:rsidRDefault="006605BC">
      <w:r>
        <w:t xml:space="preserve">V současné době existuje mnoho předpisů stanovujících příspěvky, či naopak výplaty z fondů, přičemž některé předpisy jsou blokovány soudy, jiné zase novelami, které jsou s nimi v rozporu. Je tedy vhodné </w:t>
      </w:r>
      <w:r w:rsidRPr="005B5310">
        <w:t>problematiku radioaktivních odpadů komplexně upravit, aby byl vytvořen funkční systém pro tak důležit</w:t>
      </w:r>
      <w:r w:rsidR="005B5310" w:rsidRPr="005B5310">
        <w:rPr>
          <w:rFonts w:cs="Arial"/>
        </w:rPr>
        <w:t>é téma</w:t>
      </w:r>
      <w:r w:rsidRPr="005B5310">
        <w:t>. Za zmínku stojí, že radioaktivní odpad je jediný druh odpadu, za který jeho producenti nesou</w:t>
      </w:r>
      <w:r>
        <w:t xml:space="preserve"> přímou odpovědnost, což je dáno zejména jeho nebezpečností. Proto by měl </w:t>
      </w:r>
      <w:r w:rsidRPr="005B5310">
        <w:t>být zákon upravující nakládání s jaderným odpadem mimořádně kvalitní a měl byt chránit před škodlivými účinky radioaktivního záření</w:t>
      </w:r>
      <w:r w:rsidR="005B5310" w:rsidRPr="005B5310">
        <w:rPr>
          <w:rFonts w:cs="Arial"/>
        </w:rPr>
        <w:t xml:space="preserve"> naše životní prostředí,</w:t>
      </w:r>
      <w:r w:rsidRPr="005B5310">
        <w:t xml:space="preserve"> nás i naše potom</w:t>
      </w:r>
      <w:r>
        <w:t>ky.</w:t>
      </w:r>
    </w:p>
    <w:p w14:paraId="2598454C" w14:textId="77777777" w:rsidR="005E12FD" w:rsidRDefault="006605BC" w:rsidP="00C16CBD">
      <w:pPr>
        <w:pStyle w:val="Heading1"/>
        <w:ind w:left="0" w:firstLine="0"/>
        <w:rPr>
          <w:sz w:val="28"/>
          <w:szCs w:val="28"/>
        </w:rPr>
      </w:pPr>
      <w:r>
        <w:rPr>
          <w:sz w:val="28"/>
          <w:szCs w:val="28"/>
        </w:rPr>
        <w:t>Zvláštní část</w:t>
      </w:r>
    </w:p>
    <w:p w14:paraId="5DA73499" w14:textId="77777777" w:rsidR="005E12FD" w:rsidRDefault="006605BC" w:rsidP="00C16CBD">
      <w:pPr>
        <w:pStyle w:val="Heading2"/>
        <w:numPr>
          <w:ilvl w:val="1"/>
          <w:numId w:val="1"/>
        </w:numPr>
        <w:ind w:left="432" w:hanging="432"/>
      </w:pPr>
      <w:r>
        <w:t>Hlava I</w:t>
      </w:r>
    </w:p>
    <w:p w14:paraId="7299B010" w14:textId="77777777" w:rsidR="005E12FD" w:rsidRPr="00FE67D5" w:rsidRDefault="006605BC">
      <w:r w:rsidRPr="00FE67D5">
        <w:t xml:space="preserve">Hlava </w:t>
      </w:r>
      <w:proofErr w:type="gramStart"/>
      <w:r w:rsidRPr="00FE67D5">
        <w:t>I</w:t>
      </w:r>
      <w:proofErr w:type="gramEnd"/>
      <w:r w:rsidRPr="00FE67D5">
        <w:t xml:space="preserve"> </w:t>
      </w:r>
      <w:r w:rsidR="00BE375B" w:rsidRPr="00FE67D5">
        <w:rPr>
          <w:rFonts w:cs="Arial"/>
        </w:rPr>
        <w:t>stanovuje v</w:t>
      </w:r>
      <w:r w:rsidRPr="00FE67D5">
        <w:t xml:space="preserve"> úvodních ustanoveních</w:t>
      </w:r>
      <w:r w:rsidR="00BE375B" w:rsidRPr="00FE67D5">
        <w:rPr>
          <w:rFonts w:cs="Arial"/>
        </w:rPr>
        <w:t xml:space="preserve"> definice pro termíny</w:t>
      </w:r>
      <w:r w:rsidRPr="00FE67D5">
        <w:t>, kter</w:t>
      </w:r>
      <w:r w:rsidR="00BE375B" w:rsidRPr="00FE67D5">
        <w:rPr>
          <w:rFonts w:cs="Arial"/>
        </w:rPr>
        <w:t>é</w:t>
      </w:r>
      <w:r w:rsidRPr="00FE67D5">
        <w:t xml:space="preserve"> jsou pak dále používán</w:t>
      </w:r>
      <w:r w:rsidR="00BE375B" w:rsidRPr="00FE67D5">
        <w:rPr>
          <w:rFonts w:cs="Arial"/>
        </w:rPr>
        <w:t>y</w:t>
      </w:r>
      <w:r w:rsidRPr="00FE67D5">
        <w:t>.</w:t>
      </w:r>
    </w:p>
    <w:p w14:paraId="0D0457E4" w14:textId="77777777" w:rsidR="005E12FD" w:rsidRDefault="006605BC">
      <w:pPr>
        <w:spacing w:before="240" w:after="0" w:line="360" w:lineRule="auto"/>
        <w:rPr>
          <w:u w:val="single"/>
        </w:rPr>
      </w:pPr>
      <w:r>
        <w:rPr>
          <w:b/>
          <w:u w:val="single"/>
        </w:rPr>
        <w:t xml:space="preserve">Par. 101. </w:t>
      </w:r>
    </w:p>
    <w:p w14:paraId="7AAC85E3" w14:textId="77777777" w:rsidR="005E12FD" w:rsidRDefault="006605BC">
      <w:pPr>
        <w:spacing w:before="240" w:after="0" w:line="360" w:lineRule="auto"/>
      </w:pPr>
      <w:r>
        <w:t>Tento paragraf definuje základní pojmy používané v zákoně.</w:t>
      </w:r>
    </w:p>
    <w:p w14:paraId="47996148" w14:textId="77777777" w:rsidR="005E12FD" w:rsidRDefault="006605BC">
      <w:pPr>
        <w:spacing w:before="240" w:after="0" w:line="360" w:lineRule="auto"/>
        <w:rPr>
          <w:u w:val="single"/>
        </w:rPr>
      </w:pPr>
      <w:r>
        <w:rPr>
          <w:b/>
          <w:u w:val="single"/>
        </w:rPr>
        <w:t xml:space="preserve">Par. 102. </w:t>
      </w:r>
    </w:p>
    <w:p w14:paraId="6235DEE5" w14:textId="77777777" w:rsidR="005E12FD" w:rsidRDefault="006605BC">
      <w:pPr>
        <w:spacing w:before="240" w:after="0" w:line="360" w:lineRule="auto"/>
      </w:pPr>
      <w:r>
        <w:t>Tento paragraf shrnuje cíl celého zákona.</w:t>
      </w:r>
    </w:p>
    <w:p w14:paraId="47B4EBEE" w14:textId="77777777" w:rsidR="005E12FD" w:rsidRDefault="006605BC">
      <w:pPr>
        <w:pStyle w:val="Heading2"/>
        <w:numPr>
          <w:ilvl w:val="1"/>
          <w:numId w:val="1"/>
        </w:numPr>
      </w:pPr>
      <w:r>
        <w:t>Hlava II</w:t>
      </w:r>
    </w:p>
    <w:p w14:paraId="02CBE327" w14:textId="77777777" w:rsidR="005E12FD" w:rsidRPr="003468A2" w:rsidRDefault="006605BC">
      <w:r w:rsidRPr="003468A2">
        <w:t xml:space="preserve">Hlava II </w:t>
      </w:r>
      <w:r w:rsidR="00FE67D5" w:rsidRPr="003468A2">
        <w:rPr>
          <w:rFonts w:cs="Arial"/>
        </w:rPr>
        <w:t xml:space="preserve">se zabývá </w:t>
      </w:r>
      <w:r w:rsidRPr="003468A2">
        <w:t>dozorový</w:t>
      </w:r>
      <w:r w:rsidR="00FE67D5" w:rsidRPr="003468A2">
        <w:rPr>
          <w:rFonts w:cs="Arial"/>
        </w:rPr>
        <w:t>m</w:t>
      </w:r>
      <w:r w:rsidRPr="003468A2">
        <w:t xml:space="preserve"> orgán</w:t>
      </w:r>
      <w:r w:rsidR="00FE67D5" w:rsidRPr="003468A2">
        <w:rPr>
          <w:rFonts w:cs="Arial"/>
        </w:rPr>
        <w:t>em</w:t>
      </w:r>
      <w:r w:rsidRPr="003468A2">
        <w:t>, který bude vykonávat dozor nad zacházením s RAO.</w:t>
      </w:r>
    </w:p>
    <w:p w14:paraId="62D612E7" w14:textId="77777777" w:rsidR="005E12FD" w:rsidRDefault="006605BC">
      <w:pPr>
        <w:spacing w:after="0" w:line="240" w:lineRule="auto"/>
        <w:jc w:val="left"/>
        <w:rPr>
          <w:b/>
          <w:u w:val="single"/>
        </w:rPr>
      </w:pPr>
      <w:r>
        <w:br w:type="page"/>
      </w:r>
    </w:p>
    <w:p w14:paraId="49A0098D" w14:textId="77777777" w:rsidR="005E12FD" w:rsidRDefault="006605BC">
      <w:pPr>
        <w:rPr>
          <w:b/>
        </w:rPr>
      </w:pPr>
      <w:r>
        <w:rPr>
          <w:b/>
          <w:u w:val="single"/>
        </w:rPr>
        <w:lastRenderedPageBreak/>
        <w:t>Par. 201.</w:t>
      </w:r>
      <w:r>
        <w:rPr>
          <w:b/>
        </w:rPr>
        <w:t xml:space="preserve"> </w:t>
      </w:r>
    </w:p>
    <w:p w14:paraId="1B9B4AB4" w14:textId="77777777" w:rsidR="005E12FD" w:rsidRPr="00447059" w:rsidRDefault="006605BC">
      <w:r>
        <w:t xml:space="preserve">Tento </w:t>
      </w:r>
      <w:r w:rsidRPr="00447059">
        <w:t xml:space="preserve">paragraf mluví o zřízení nově vzniklé Agentury pro mírové využití radioaktivních materiálů, a zejména o pravomocích, kterými bude </w:t>
      </w:r>
      <w:r w:rsidR="004470BA" w:rsidRPr="00447059">
        <w:rPr>
          <w:rFonts w:cs="Arial"/>
        </w:rPr>
        <w:t xml:space="preserve">Agentura a její pracovníci </w:t>
      </w:r>
      <w:r w:rsidRPr="00447059">
        <w:t>disponovat.</w:t>
      </w:r>
      <w:r w:rsidR="00B5630B" w:rsidRPr="00447059">
        <w:rPr>
          <w:rFonts w:cs="Arial"/>
        </w:rPr>
        <w:t xml:space="preserve"> Pracovníkům agentury musí být dána pravomoc vstoupit do zařízení, ve kterých se nachází radioaktivní materiál, aby mohli bez zbytečných průtahů a dalších schvalování plnit úkoly Agentury. </w:t>
      </w:r>
      <w:r w:rsidRPr="00447059">
        <w:t xml:space="preserve"> Také </w:t>
      </w:r>
      <w:r w:rsidR="00B5630B" w:rsidRPr="00447059">
        <w:rPr>
          <w:rFonts w:cs="Arial"/>
        </w:rPr>
        <w:t xml:space="preserve">paragraf také </w:t>
      </w:r>
      <w:r w:rsidRPr="00447059">
        <w:t>upravuje situaci původního dozorového orgánu.</w:t>
      </w:r>
    </w:p>
    <w:p w14:paraId="2F8DA51F" w14:textId="77777777" w:rsidR="005E12FD" w:rsidRPr="00447059" w:rsidRDefault="006605BC">
      <w:r w:rsidRPr="00447059">
        <w:rPr>
          <w:b/>
          <w:u w:val="single"/>
        </w:rPr>
        <w:t>Par. 202.</w:t>
      </w:r>
    </w:p>
    <w:p w14:paraId="680465E9" w14:textId="77777777" w:rsidR="005E12FD" w:rsidRPr="00447059" w:rsidRDefault="006605BC">
      <w:pPr>
        <w:rPr>
          <w:b/>
        </w:rPr>
      </w:pPr>
      <w:r w:rsidRPr="00447059">
        <w:t>Tento paragraf se zabývá financováním činnosti Agentury pro mírové využití radioaktivních materiálů.</w:t>
      </w:r>
      <w:r w:rsidR="004747F2" w:rsidRPr="00447059">
        <w:rPr>
          <w:rFonts w:cs="Arial"/>
        </w:rPr>
        <w:t xml:space="preserve"> Tímto paragrafem je také stano</w:t>
      </w:r>
      <w:r w:rsidR="002C0D54" w:rsidRPr="00447059">
        <w:rPr>
          <w:rFonts w:cs="Arial"/>
        </w:rPr>
        <w:t>ven úřad oprávněný prostřednictvím schvalování výše příspěvku vykonávat k</w:t>
      </w:r>
      <w:r w:rsidR="004747F2" w:rsidRPr="00447059">
        <w:rPr>
          <w:rFonts w:cs="Arial"/>
        </w:rPr>
        <w:t xml:space="preserve">ontrolní funkci nad </w:t>
      </w:r>
      <w:r w:rsidR="002C0D54" w:rsidRPr="00447059">
        <w:rPr>
          <w:rFonts w:cs="Arial"/>
        </w:rPr>
        <w:t>Agenturou.</w:t>
      </w:r>
    </w:p>
    <w:p w14:paraId="0BC678B5" w14:textId="77777777" w:rsidR="005E12FD" w:rsidRDefault="006605BC">
      <w:pPr>
        <w:pStyle w:val="Heading2"/>
        <w:numPr>
          <w:ilvl w:val="1"/>
          <w:numId w:val="1"/>
        </w:numPr>
      </w:pPr>
      <w:r>
        <w:t>Hlava III</w:t>
      </w:r>
    </w:p>
    <w:p w14:paraId="58118228" w14:textId="77777777" w:rsidR="005E12FD" w:rsidRDefault="006605BC">
      <w:r>
        <w:t>Hlava III upravuje podmínky financování činností souvisejících s ukládáním jaderného odpadu.</w:t>
      </w:r>
    </w:p>
    <w:p w14:paraId="32BB2088" w14:textId="77777777" w:rsidR="005E12FD" w:rsidRDefault="006605BC">
      <w:r>
        <w:rPr>
          <w:b/>
          <w:u w:val="single"/>
        </w:rPr>
        <w:t>Par. 301.</w:t>
      </w:r>
    </w:p>
    <w:p w14:paraId="4FDBDFBE" w14:textId="77777777" w:rsidR="005E12FD" w:rsidRPr="006C0D57" w:rsidRDefault="006605BC">
      <w:r>
        <w:t xml:space="preserve">Tento paragraf zřizuje účet, ze kterého se bude financovat provoz Agentury a budoucí </w:t>
      </w:r>
      <w:r w:rsidRPr="006C0D57">
        <w:t>výstavba a provoz trvalého úložiště jaderného odpadu.</w:t>
      </w:r>
      <w:r w:rsidR="002164ED" w:rsidRPr="006C0D57">
        <w:rPr>
          <w:rFonts w:cs="Arial"/>
        </w:rPr>
        <w:t xml:space="preserve"> Dále se zabývá způsobem nakládání s peněžními prostředky uloženými na tomto účtu a procesní úpravou </w:t>
      </w:r>
      <w:r w:rsidR="00FE6393" w:rsidRPr="006C0D57">
        <w:rPr>
          <w:rFonts w:cs="Arial"/>
        </w:rPr>
        <w:t>jejich uplatňování</w:t>
      </w:r>
      <w:r w:rsidR="006C0D57" w:rsidRPr="006C0D57">
        <w:rPr>
          <w:rFonts w:cs="Arial"/>
        </w:rPr>
        <w:t>.</w:t>
      </w:r>
    </w:p>
    <w:p w14:paraId="412349CD" w14:textId="77777777" w:rsidR="005E12FD" w:rsidRDefault="006605BC">
      <w:r>
        <w:rPr>
          <w:b/>
          <w:u w:val="single"/>
        </w:rPr>
        <w:t>Par. 302.</w:t>
      </w:r>
    </w:p>
    <w:p w14:paraId="01D305C8" w14:textId="77777777" w:rsidR="005E12FD" w:rsidRPr="006C0D57" w:rsidRDefault="006605BC">
      <w:r>
        <w:t xml:space="preserve">V tomto paragrafu jsou stanoveny výše příspěvků, které platí jednotliví producenti radioaktivního </w:t>
      </w:r>
      <w:r w:rsidRPr="006C0D57">
        <w:t>odpadu buď za množství vyrobené elektrické energie v případě elektráren, nebo za množství odpadu vyprodukovaného např. nemocnicemi nebo výzkumnými zařízeními.</w:t>
      </w:r>
      <w:r w:rsidR="006C0D57" w:rsidRPr="006C0D57">
        <w:rPr>
          <w:rFonts w:cs="Arial"/>
        </w:rPr>
        <w:t xml:space="preserve"> Provozovatelům jaderných elektráren je uložena povinnost přispívat do Účtu částkou vyšší, jelikož na rozdíl od ostatních producentů jaderný odpad produkují v důsledku komerční činnosti.</w:t>
      </w:r>
    </w:p>
    <w:p w14:paraId="17918800" w14:textId="77777777" w:rsidR="005E12FD" w:rsidRDefault="006605BC">
      <w:r>
        <w:rPr>
          <w:b/>
          <w:u w:val="single"/>
        </w:rPr>
        <w:t>Par. 303.</w:t>
      </w:r>
    </w:p>
    <w:p w14:paraId="451B2046" w14:textId="77777777" w:rsidR="005E12FD" w:rsidRDefault="006605BC">
      <w:r>
        <w:t>Tento paragraf přiznává Agentuře možnost pokutovat prohřešky a stanovuje výši pokut, které může Agentura ukládat.</w:t>
      </w:r>
    </w:p>
    <w:p w14:paraId="3CB1F7B8" w14:textId="77777777" w:rsidR="005E12FD" w:rsidRDefault="006605BC">
      <w:pPr>
        <w:pStyle w:val="Heading2"/>
        <w:numPr>
          <w:ilvl w:val="1"/>
          <w:numId w:val="1"/>
        </w:numPr>
      </w:pPr>
      <w:r>
        <w:t>Hlava IV</w:t>
      </w:r>
    </w:p>
    <w:p w14:paraId="127922F7" w14:textId="77777777" w:rsidR="005E12FD" w:rsidRDefault="006605BC">
      <w:r>
        <w:t>Hlava IV upravuje podmínky pro budoucí likvidaci jaderných zařízení jejich majiteli.</w:t>
      </w:r>
    </w:p>
    <w:p w14:paraId="4C3F1E65" w14:textId="77777777" w:rsidR="005E12FD" w:rsidRDefault="006605BC">
      <w:r>
        <w:rPr>
          <w:b/>
          <w:u w:val="single"/>
        </w:rPr>
        <w:lastRenderedPageBreak/>
        <w:t>Par. 401.</w:t>
      </w:r>
    </w:p>
    <w:p w14:paraId="2C7DD92A" w14:textId="77777777" w:rsidR="005E12FD" w:rsidRDefault="006605BC">
      <w:r>
        <w:t>V tomto paragrafu je stanoveno, jakým způsobem se musí společnosti připravovat na budoucí likvidaci jaderných zařízení. Zejména je určeno, kam mají být ukládány prostředky, které k tomu budou potřebné.</w:t>
      </w:r>
    </w:p>
    <w:p w14:paraId="7300FD3E" w14:textId="77777777" w:rsidR="005E12FD" w:rsidRDefault="006605BC">
      <w:pPr>
        <w:pStyle w:val="Heading2"/>
        <w:numPr>
          <w:ilvl w:val="1"/>
          <w:numId w:val="1"/>
        </w:numPr>
      </w:pPr>
      <w:r>
        <w:t>Hlava V</w:t>
      </w:r>
    </w:p>
    <w:p w14:paraId="08001D53" w14:textId="77777777" w:rsidR="005E12FD" w:rsidRDefault="006605BC">
      <w:r>
        <w:t>Hlava V určuje způsoby ukládání jaderného odpadu a je v ní schválena výstavba trvalého úložiště radioaktivního odpadu.</w:t>
      </w:r>
    </w:p>
    <w:p w14:paraId="0771BEEA" w14:textId="77777777" w:rsidR="005E12FD" w:rsidRDefault="006605BC">
      <w:r>
        <w:rPr>
          <w:b/>
          <w:u w:val="single"/>
        </w:rPr>
        <w:t>Par. 501.</w:t>
      </w:r>
    </w:p>
    <w:p w14:paraId="31B5CE9B" w14:textId="77777777" w:rsidR="005E12FD" w:rsidRDefault="006605BC">
      <w:r>
        <w:t>Zde je upraveno dočasné skladování vyhořelého jaderného paliva v jaderných elektrárnách a předávání radioaktivního odpadu institucionálními producenty.</w:t>
      </w:r>
    </w:p>
    <w:p w14:paraId="26C3E19C" w14:textId="77777777" w:rsidR="005E12FD" w:rsidRDefault="006605BC">
      <w:r>
        <w:rPr>
          <w:b/>
          <w:u w:val="single"/>
        </w:rPr>
        <w:t>Par. 502.</w:t>
      </w:r>
    </w:p>
    <w:p w14:paraId="43B2D438" w14:textId="77777777" w:rsidR="005E12FD" w:rsidRDefault="006605BC">
      <w:bookmarkStart w:id="1" w:name="_gjdgxs" w:colFirst="0" w:colLast="0"/>
      <w:bookmarkEnd w:id="1"/>
      <w:r>
        <w:t>Tento paragraf je pro naši budoucnost nejdůležitější, neboť finálně řeší dostavbu trvalého úložiště jaderného odpadu, jehož stavbu již není možné příliš odkládat a které je z hlediska bezpečnosti ukládání jaderného odpadu zcela nutné. Je zde také vyřešeno financování tohoto projektu, a to jeho výstavby i budoucího provozu, a také dohled nad jeho provozem.</w:t>
      </w:r>
    </w:p>
    <w:p w14:paraId="3E844B2D" w14:textId="77777777" w:rsidR="005E12FD" w:rsidRDefault="006605BC">
      <w:pPr>
        <w:pStyle w:val="Heading2"/>
        <w:numPr>
          <w:ilvl w:val="1"/>
          <w:numId w:val="1"/>
        </w:numPr>
      </w:pPr>
      <w:r>
        <w:t>Hlava VI</w:t>
      </w:r>
    </w:p>
    <w:p w14:paraId="7444C739" w14:textId="77777777" w:rsidR="005E12FD" w:rsidRDefault="006605BC">
      <w:pPr>
        <w:rPr>
          <w:b/>
          <w:u w:val="single"/>
        </w:rPr>
      </w:pPr>
      <w:r>
        <w:rPr>
          <w:b/>
          <w:u w:val="single"/>
        </w:rPr>
        <w:t>Par. 601.</w:t>
      </w:r>
    </w:p>
    <w:p w14:paraId="0D9BD9A9" w14:textId="77777777" w:rsidR="005E12FD" w:rsidRDefault="006605BC">
      <w:r>
        <w:t>Zde je vyjmuta z působnosti zákona Armáda USA, která je také významným producentem jaderného odpadu, avšak vzhledem k vojenské povaze tohoto materiálu je nutné s ním zacházet podle zvláštních podmínek.</w:t>
      </w:r>
    </w:p>
    <w:p w14:paraId="2EF9D6ED" w14:textId="77777777" w:rsidR="005E12FD" w:rsidRDefault="006605BC">
      <w:r>
        <w:rPr>
          <w:b/>
          <w:u w:val="single"/>
        </w:rPr>
        <w:t>Par. 602.</w:t>
      </w:r>
    </w:p>
    <w:p w14:paraId="41B71438" w14:textId="77777777" w:rsidR="005E12FD" w:rsidRDefault="006605BC">
      <w:r>
        <w:t>Tento paragraf stanovuje účinnost zákona, kterou je vhodné zavést od nového roku, neboť mění podmínky pro placení příspěvků, což by bylo nevhodné činit uprostřed účetního období.</w:t>
      </w:r>
    </w:p>
    <w:sectPr w:rsidR="005E12FD">
      <w:headerReference w:type="default" r:id="rId10"/>
      <w:footerReference w:type="default" r:id="rId11"/>
      <w:headerReference w:type="first" r:id="rId12"/>
      <w:pgSz w:w="11906" w:h="16838"/>
      <w:pgMar w:top="2552" w:right="1418" w:bottom="1985" w:left="1418" w:header="130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7E811" w14:textId="77777777" w:rsidR="008D1DA7" w:rsidRDefault="008D1DA7">
      <w:pPr>
        <w:spacing w:after="0" w:line="240" w:lineRule="auto"/>
      </w:pPr>
      <w:r>
        <w:separator/>
      </w:r>
    </w:p>
  </w:endnote>
  <w:endnote w:type="continuationSeparator" w:id="0">
    <w:p w14:paraId="73765668" w14:textId="77777777" w:rsidR="008D1DA7" w:rsidRDefault="008D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FCBD8" w14:textId="77777777" w:rsidR="005E12FD" w:rsidRDefault="006605BC">
    <w:pPr>
      <w:tabs>
        <w:tab w:val="center" w:pos="4536"/>
        <w:tab w:val="right" w:pos="9072"/>
      </w:tabs>
      <w:spacing w:after="0" w:line="240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D22C19D" wp14:editId="796A807E">
              <wp:simplePos x="0" y="0"/>
              <wp:positionH relativeFrom="margin">
                <wp:posOffset>-901699</wp:posOffset>
              </wp:positionH>
              <wp:positionV relativeFrom="paragraph">
                <wp:posOffset>-203199</wp:posOffset>
              </wp:positionV>
              <wp:extent cx="7572375" cy="5619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4575" y="3503775"/>
                        <a:ext cx="756285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D06786" w14:textId="77777777" w:rsidR="005E12FD" w:rsidRDefault="006605BC">
                          <w:pPr>
                            <w:spacing w:before="120" w:after="24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2"/>
                            </w:rPr>
                            <w:t>Pro potřeby Českého modelu amerického kongresu 201</w:t>
                          </w:r>
                          <w:r w:rsidR="005B5310">
                            <w:rPr>
                              <w:rFonts w:ascii="Arial" w:eastAsia="Arial" w:hAnsi="Arial" w:cs="Arial"/>
                              <w:color w:val="7F7F7F"/>
                              <w:sz w:val="22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z w:val="22"/>
                            </w:rPr>
                            <w:t xml:space="preserve"> Jan Kmínek</w:t>
                          </w:r>
                          <w:r w:rsidR="005B5310">
                            <w:rPr>
                              <w:rFonts w:ascii="Arial" w:eastAsia="Arial" w:hAnsi="Arial" w:cs="Arial"/>
                              <w:color w:val="7F7F7F"/>
                              <w:sz w:val="22"/>
                            </w:rPr>
                            <w:t xml:space="preserve"> a Pavel Čech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z w:val="22"/>
                            </w:rPr>
                            <w:br/>
                            <w:t>© 201</w:t>
                          </w:r>
                          <w:r w:rsidR="005B5310">
                            <w:rPr>
                              <w:rFonts w:ascii="Arial" w:eastAsia="Arial" w:hAnsi="Arial" w:cs="Arial"/>
                              <w:color w:val="7F7F7F"/>
                              <w:sz w:val="22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z w:val="22"/>
                            </w:rPr>
                            <w:t xml:space="preserve"> Centrum politických studií, z. s. | www.americkykongres.cz | info@americkykongres.cz</w:t>
                          </w:r>
                        </w:p>
                        <w:p w14:paraId="27203C00" w14:textId="77777777" w:rsidR="005E12FD" w:rsidRDefault="005E12FD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3D22C19D" id="Rectangle 1" o:spid="_x0000_s1026" style="position:absolute;left:0;text-align:left;margin-left:-71pt;margin-top:-15.95pt;width:596.25pt;height:44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" filled="f" stroked="f">
              <v:textbox inset="91425emu,45700emu,91425emu,45700emu">
                <w:txbxContent>
                  <w:p w14:paraId="05D06786" w14:textId="77777777" w:rsidR="005E12FD" w:rsidRDefault="006605BC">
                    <w:pPr>
                      <w:spacing w:before="120" w:after="240" w:line="275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2"/>
                      </w:rPr>
                      <w:t>Pro potřeby Českého modelu amerického kongresu 201</w:t>
                    </w:r>
                    <w:r w:rsidR="005B5310">
                      <w:rPr>
                        <w:rFonts w:ascii="Arial" w:eastAsia="Arial" w:hAnsi="Arial" w:cs="Arial"/>
                        <w:color w:val="7F7F7F"/>
                        <w:sz w:val="22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color w:val="7F7F7F"/>
                        <w:sz w:val="22"/>
                      </w:rPr>
                      <w:t xml:space="preserve"> Jan Kmínek</w:t>
                    </w:r>
                    <w:r w:rsidR="005B5310">
                      <w:rPr>
                        <w:rFonts w:ascii="Arial" w:eastAsia="Arial" w:hAnsi="Arial" w:cs="Arial"/>
                        <w:color w:val="7F7F7F"/>
                        <w:sz w:val="22"/>
                      </w:rPr>
                      <w:t xml:space="preserve"> a Pavel Čech</w:t>
                    </w:r>
                    <w:r>
                      <w:rPr>
                        <w:rFonts w:ascii="Arial" w:eastAsia="Arial" w:hAnsi="Arial" w:cs="Arial"/>
                        <w:color w:val="7F7F7F"/>
                        <w:sz w:val="22"/>
                      </w:rPr>
                      <w:br/>
                      <w:t>© 201</w:t>
                    </w:r>
                    <w:r w:rsidR="005B5310">
                      <w:rPr>
                        <w:rFonts w:ascii="Arial" w:eastAsia="Arial" w:hAnsi="Arial" w:cs="Arial"/>
                        <w:color w:val="7F7F7F"/>
                        <w:sz w:val="22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color w:val="7F7F7F"/>
                        <w:sz w:val="22"/>
                      </w:rPr>
                      <w:t xml:space="preserve"> Centrum politických studií, z. s. | www.americkykongres.cz | info@americkykongres.cz</w:t>
                    </w:r>
                  </w:p>
                  <w:p w14:paraId="27203C00" w14:textId="77777777" w:rsidR="005E12FD" w:rsidRDefault="005E12FD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60241" w14:textId="77777777" w:rsidR="008D1DA7" w:rsidRDefault="008D1DA7">
      <w:pPr>
        <w:spacing w:after="0" w:line="240" w:lineRule="auto"/>
      </w:pPr>
      <w:r>
        <w:separator/>
      </w:r>
    </w:p>
  </w:footnote>
  <w:footnote w:type="continuationSeparator" w:id="0">
    <w:p w14:paraId="1969278A" w14:textId="77777777" w:rsidR="008D1DA7" w:rsidRDefault="008D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820CB" w14:textId="77777777" w:rsidR="005E12FD" w:rsidRDefault="003A63E1">
    <w:pPr>
      <w:tabs>
        <w:tab w:val="center" w:pos="4536"/>
        <w:tab w:val="right" w:pos="9072"/>
      </w:tabs>
      <w:spacing w:after="0" w:line="240" w:lineRule="auto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CAA2716" wp14:editId="36AA44EB">
          <wp:simplePos x="0" y="0"/>
          <wp:positionH relativeFrom="margin">
            <wp:posOffset>-1078230</wp:posOffset>
          </wp:positionH>
          <wp:positionV relativeFrom="margin">
            <wp:posOffset>-1620520</wp:posOffset>
          </wp:positionV>
          <wp:extent cx="7887335" cy="10687050"/>
          <wp:effectExtent l="0" t="0" r="12065" b="635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CEB7E1" w14:textId="77777777" w:rsidR="005E12FD" w:rsidRDefault="005E12FD">
    <w:pPr>
      <w:tabs>
        <w:tab w:val="center" w:pos="4536"/>
        <w:tab w:val="right" w:pos="9072"/>
      </w:tabs>
      <w:spacing w:after="0" w:line="240" w:lineRule="auto"/>
    </w:pPr>
  </w:p>
  <w:p w14:paraId="3E710C0E" w14:textId="77777777" w:rsidR="005E12FD" w:rsidRDefault="005E12FD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93BF2" w14:textId="77777777" w:rsidR="005E12FD" w:rsidRDefault="005E12FD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A5ACF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340" w:hanging="3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12FD"/>
    <w:rsid w:val="002164ED"/>
    <w:rsid w:val="002C0D54"/>
    <w:rsid w:val="003468A2"/>
    <w:rsid w:val="003A63E1"/>
    <w:rsid w:val="003E02D2"/>
    <w:rsid w:val="00447059"/>
    <w:rsid w:val="004470BA"/>
    <w:rsid w:val="004747F2"/>
    <w:rsid w:val="00575288"/>
    <w:rsid w:val="005B5310"/>
    <w:rsid w:val="005E12FD"/>
    <w:rsid w:val="0061473B"/>
    <w:rsid w:val="006605BC"/>
    <w:rsid w:val="006C0D57"/>
    <w:rsid w:val="007A7265"/>
    <w:rsid w:val="00865B4C"/>
    <w:rsid w:val="008D1DA7"/>
    <w:rsid w:val="00B5630B"/>
    <w:rsid w:val="00BE375B"/>
    <w:rsid w:val="00C16CBD"/>
    <w:rsid w:val="00CB4FB8"/>
    <w:rsid w:val="00CC052C"/>
    <w:rsid w:val="00D74F47"/>
    <w:rsid w:val="00DA5A78"/>
    <w:rsid w:val="00E41563"/>
    <w:rsid w:val="00FE6393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566FE5"/>
  <w15:docId w15:val="{3A55A383-324C-B441-A905-2C02988B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ind w:left="340" w:hanging="3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240"/>
      <w:ind w:left="340" w:hanging="3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ind w:left="340" w:hanging="340"/>
      <w:jc w:val="left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ind w:left="864" w:hanging="864"/>
      <w:outlineLvl w:val="3"/>
    </w:pPr>
    <w:rPr>
      <w:rFonts w:ascii="Arial" w:eastAsia="Arial" w:hAnsi="Arial" w:cs="Arial"/>
      <w:b/>
      <w:i/>
      <w:color w:val="4F81BD"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ind w:left="1008" w:hanging="1008"/>
      <w:outlineLvl w:val="4"/>
    </w:pPr>
    <w:rPr>
      <w:rFonts w:ascii="Arial" w:eastAsia="Arial" w:hAnsi="Arial" w:cs="Arial"/>
      <w:color w:val="243F60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ind w:left="1152" w:hanging="1152"/>
      <w:outlineLvl w:val="5"/>
    </w:pPr>
    <w:rPr>
      <w:rFonts w:ascii="Arial" w:eastAsia="Arial" w:hAnsi="Arial" w:cs="Arial"/>
      <w:i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spacing w:before="240" w:after="240" w:line="240" w:lineRule="auto"/>
      <w:contextualSpacing/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rPr>
      <w:rFonts w:ascii="Arial" w:eastAsia="Arial" w:hAnsi="Arial" w:cs="Arial"/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5B5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10"/>
  </w:style>
  <w:style w:type="paragraph" w:styleId="Footer">
    <w:name w:val="footer"/>
    <w:basedOn w:val="Normal"/>
    <w:link w:val="FooterChar"/>
    <w:uiPriority w:val="99"/>
    <w:unhideWhenUsed/>
    <w:rsid w:val="005B5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8" ma:contentTypeDescription="Vytvoří nový dokument" ma:contentTypeScope="" ma:versionID="84792e2466b52928c2dd0d3d2e51c25d">
  <xsd:schema xmlns:xsd="http://www.w3.org/2001/XMLSchema" xmlns:xs="http://www.w3.org/2001/XMLSchema" xmlns:p="http://schemas.microsoft.com/office/2006/metadata/properties" xmlns:ns2="82a68e41-89ad-407c-bbf9-904e606f5c1d" xmlns:ns3="174dfa33-e9c7-4c5c-bb0d-23e32f986dbc" xmlns:ns4="5db5cc50-064f-4478-8b31-6a5772c25ddf" targetNamespace="http://schemas.microsoft.com/office/2006/metadata/properties" ma:root="true" ma:fieldsID="2e95598f7717b1ee0d52c15966619886" ns2:_="" ns3:_="" ns4:_="">
    <xsd:import namespace="82a68e41-89ad-407c-bbf9-904e606f5c1d"/>
    <xsd:import namespace="174dfa33-e9c7-4c5c-bb0d-23e32f986dbc"/>
    <xsd:import namespace="5db5cc50-064f-4478-8b31-6a5772c25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cc50-064f-4478-8b31-6a5772c2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6C718-0B0B-4F0F-843E-F239A5650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8e41-89ad-407c-bbf9-904e606f5c1d"/>
    <ds:schemaRef ds:uri="174dfa33-e9c7-4c5c-bb0d-23e32f986dbc"/>
    <ds:schemaRef ds:uri="5db5cc50-064f-4478-8b31-6a5772c25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76217-F9BE-4716-9DE0-D04CDDC2A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D0785-95C7-4515-A9A1-5D4DC5936B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610</Words>
  <Characters>3520</Characters>
  <Application>Microsoft Macintosh Word</Application>
  <DocSecurity>0</DocSecurity>
  <Lines>88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Westlake</cp:lastModifiedBy>
  <cp:revision>5</cp:revision>
  <dcterms:created xsi:type="dcterms:W3CDTF">2018-04-15T10:43:00Z</dcterms:created>
  <dcterms:modified xsi:type="dcterms:W3CDTF">2018-08-28T08:24:00Z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