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382D4ECA" w:rsidR="0036225B" w:rsidRPr="00AE47A7" w:rsidRDefault="00670CF8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S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. </w:t>
            </w:r>
            <w:proofErr w:type="spellStart"/>
            <w:r w:rsidR="00CE2CB1">
              <w:rPr>
                <w:rFonts w:eastAsia="Tahoma"/>
                <w:b/>
                <w:iCs/>
                <w:sz w:val="24"/>
                <w:szCs w:val="24"/>
                <w:lang w:val="cs-CZ"/>
              </w:rPr>
              <w:t>xxxx</w:t>
            </w:r>
            <w:proofErr w:type="spellEnd"/>
          </w:p>
        </w:tc>
        <w:tc>
          <w:tcPr>
            <w:tcW w:w="4530" w:type="dxa"/>
          </w:tcPr>
          <w:p w14:paraId="10331E70" w14:textId="7F337E81" w:rsidR="0036225B" w:rsidRPr="00AE47A7" w:rsidRDefault="00670CF8" w:rsidP="0036225B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Výbor pro </w:t>
            </w:r>
            <w:r w:rsidR="00CE2CB1">
              <w:rPr>
                <w:rFonts w:eastAsia="Tahoma"/>
                <w:iCs/>
                <w:sz w:val="24"/>
                <w:szCs w:val="24"/>
                <w:lang w:val="cs-CZ"/>
              </w:rPr>
              <w:t>finance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27751A34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CE2CB1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4F2FB55A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442C918B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670CF8">
              <w:rPr>
                <w:rFonts w:eastAsia="Tahoma"/>
                <w:iCs/>
                <w:szCs w:val="24"/>
                <w:lang w:val="cs-CZ"/>
              </w:rPr>
              <w:t>devátého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717B1E29" w:rsidR="0036225B" w:rsidRPr="003C7E19" w:rsidRDefault="003C7E19" w:rsidP="00383BF3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O </w:t>
            </w:r>
            <w:r w:rsidR="00CE2CB1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regulaci </w:t>
            </w:r>
            <w:r w:rsidR="006B5E08">
              <w:rPr>
                <w:rFonts w:eastAsia="Tahoma"/>
                <w:b/>
                <w:iCs/>
                <w:sz w:val="24"/>
                <w:szCs w:val="24"/>
                <w:lang w:val="cs-CZ"/>
              </w:rPr>
              <w:t>digitálních finančních aktiv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4333CE" w:rsidRDefault="00705D29" w:rsidP="00651695">
      <w:pPr>
        <w:spacing w:before="240" w:after="240" w:line="360" w:lineRule="auto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 – Úvodní ustanovení</w:t>
      </w:r>
    </w:p>
    <w:p w14:paraId="006AFA06" w14:textId="29B37190" w:rsidR="00705D29" w:rsidRPr="004333CE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101. Definice.</w:t>
      </w:r>
    </w:p>
    <w:p w14:paraId="6418674B" w14:textId="2A8B5CB2" w:rsidR="00705D29" w:rsidRPr="004333CE" w:rsidRDefault="00705D29" w:rsidP="00651695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V tomto zákoně:</w:t>
      </w:r>
    </w:p>
    <w:p w14:paraId="76CD1DED" w14:textId="04C5125F" w:rsidR="00E3374A" w:rsidRPr="004333CE" w:rsidRDefault="007C542F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rFonts w:eastAsia="Tahoma"/>
          <w:sz w:val="24"/>
          <w:szCs w:val="24"/>
          <w:lang w:val="cs-CZ"/>
        </w:rPr>
      </w:pPr>
      <w:r>
        <w:rPr>
          <w:rFonts w:eastAsia="Tahoma"/>
          <w:sz w:val="24"/>
          <w:szCs w:val="24"/>
          <w:lang w:val="cs-CZ"/>
        </w:rPr>
        <w:t>DIGITÁLNÍ FINANČNÍ AKTIVUM</w:t>
      </w:r>
      <w:r w:rsidR="00FA3005" w:rsidRPr="004333CE">
        <w:rPr>
          <w:rFonts w:eastAsia="Tahoma"/>
          <w:sz w:val="24"/>
          <w:szCs w:val="24"/>
          <w:lang w:val="cs-CZ"/>
        </w:rPr>
        <w:t xml:space="preserve">. </w:t>
      </w:r>
      <w:r w:rsidR="00705D29" w:rsidRPr="004333CE">
        <w:rPr>
          <w:rFonts w:eastAsia="Tahoma"/>
          <w:sz w:val="24"/>
          <w:szCs w:val="24"/>
          <w:lang w:val="cs-CZ"/>
        </w:rPr>
        <w:t xml:space="preserve">– </w:t>
      </w:r>
      <w:r>
        <w:rPr>
          <w:rFonts w:eastAsia="Tahoma"/>
          <w:sz w:val="24"/>
          <w:szCs w:val="24"/>
          <w:lang w:val="cs-CZ"/>
        </w:rPr>
        <w:t>Digitálními finančními aktivy</w:t>
      </w:r>
      <w:r w:rsidR="00DA0405">
        <w:rPr>
          <w:rFonts w:eastAsia="Tahoma"/>
          <w:sz w:val="24"/>
          <w:szCs w:val="24"/>
          <w:lang w:val="cs-CZ"/>
        </w:rPr>
        <w:t xml:space="preserve"> se pro účely tohoto zákona rozumí </w:t>
      </w:r>
      <w:proofErr w:type="spellStart"/>
      <w:r>
        <w:rPr>
          <w:rFonts w:eastAsia="Tahoma"/>
          <w:sz w:val="24"/>
          <w:szCs w:val="24"/>
          <w:lang w:val="cs-CZ"/>
        </w:rPr>
        <w:t>kryptoměny</w:t>
      </w:r>
      <w:proofErr w:type="spellEnd"/>
      <w:r>
        <w:rPr>
          <w:rFonts w:eastAsia="Tahoma"/>
          <w:sz w:val="24"/>
          <w:szCs w:val="24"/>
          <w:lang w:val="cs-CZ"/>
        </w:rPr>
        <w:t xml:space="preserve"> a tokeny</w:t>
      </w:r>
      <w:r w:rsidR="00DA0405">
        <w:rPr>
          <w:rFonts w:eastAsia="Tahoma"/>
          <w:sz w:val="24"/>
          <w:szCs w:val="24"/>
          <w:lang w:val="cs-CZ"/>
        </w:rPr>
        <w:t xml:space="preserve">, které </w:t>
      </w:r>
      <w:r>
        <w:rPr>
          <w:rFonts w:eastAsia="Tahoma"/>
          <w:sz w:val="24"/>
          <w:szCs w:val="24"/>
          <w:lang w:val="cs-CZ"/>
        </w:rPr>
        <w:t>jsou</w:t>
      </w:r>
      <w:r w:rsidR="00DA0405">
        <w:rPr>
          <w:rFonts w:eastAsia="Tahoma"/>
          <w:sz w:val="24"/>
          <w:szCs w:val="24"/>
          <w:lang w:val="cs-CZ"/>
        </w:rPr>
        <w:t xml:space="preserve"> prostředkem </w:t>
      </w:r>
      <w:r w:rsidR="00DA0405" w:rsidRPr="00DA0405">
        <w:rPr>
          <w:rFonts w:eastAsia="Tahoma"/>
          <w:sz w:val="24"/>
          <w:szCs w:val="24"/>
          <w:lang w:val="cs-CZ"/>
        </w:rPr>
        <w:t>k provádění transakcí v soukromých decentralizovaných platebních systémech, jejichž integrita a spolehlivost je chráněna kódováním.</w:t>
      </w:r>
    </w:p>
    <w:p w14:paraId="5B83B444" w14:textId="77777777" w:rsidR="00F7218A" w:rsidRDefault="00284454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DIGITÁLNÍ PENĚŽENKA</w:t>
      </w:r>
      <w:r w:rsidR="00540322" w:rsidRPr="004333CE">
        <w:rPr>
          <w:sz w:val="24"/>
          <w:szCs w:val="24"/>
          <w:lang w:val="cs-CZ"/>
        </w:rPr>
        <w:t>.</w:t>
      </w:r>
      <w:r w:rsidR="009902D0" w:rsidRPr="004333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–</w:t>
      </w:r>
      <w:r w:rsidR="00FA3005" w:rsidRPr="004333C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Digitální peněženkou se pro účely tohoto zákona rozumí elektronický nástroj, který umožňuje jednotlivým uživatelům provádět elektronické transakce, kteréžto jsou chráněny kódováním a jsou obecně kompatibilní s internetovými obchody</w:t>
      </w:r>
    </w:p>
    <w:p w14:paraId="6CE48C51" w14:textId="2799E843" w:rsidR="00FA3005" w:rsidRPr="004333CE" w:rsidRDefault="00F7218A" w:rsidP="00F7218A">
      <w:pPr>
        <w:pStyle w:val="Odstavecseseznamem"/>
        <w:numPr>
          <w:ilvl w:val="1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POSKYTOVATEL DIGITÁLNÍ PENĚŽENKY</w:t>
      </w:r>
      <w:r w:rsidR="000C70E1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– Poskytovatelem digitální peněženky se pro účely tohoto </w:t>
      </w:r>
      <w:r w:rsidR="00504A65">
        <w:rPr>
          <w:sz w:val="24"/>
          <w:szCs w:val="24"/>
          <w:lang w:val="cs-CZ"/>
        </w:rPr>
        <w:t xml:space="preserve">zákona </w:t>
      </w:r>
      <w:r>
        <w:rPr>
          <w:sz w:val="24"/>
          <w:szCs w:val="24"/>
          <w:lang w:val="cs-CZ"/>
        </w:rPr>
        <w:t xml:space="preserve">rozumí instituce nabízející uchování </w:t>
      </w:r>
      <w:r w:rsidR="007C542F">
        <w:rPr>
          <w:sz w:val="24"/>
          <w:szCs w:val="24"/>
          <w:lang w:val="cs-CZ"/>
        </w:rPr>
        <w:t>digitálního finančního aktiva</w:t>
      </w:r>
      <w:r>
        <w:rPr>
          <w:sz w:val="24"/>
          <w:szCs w:val="24"/>
          <w:lang w:val="cs-CZ"/>
        </w:rPr>
        <w:t xml:space="preserve"> v digitální peněžence.</w:t>
      </w:r>
    </w:p>
    <w:p w14:paraId="425E5158" w14:textId="0108A3B0" w:rsidR="00540322" w:rsidRPr="004333CE" w:rsidRDefault="00D34A73" w:rsidP="00E75DEC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BURZA </w:t>
      </w:r>
      <w:r w:rsidR="007C542F">
        <w:rPr>
          <w:sz w:val="24"/>
          <w:szCs w:val="24"/>
          <w:lang w:val="cs-CZ"/>
        </w:rPr>
        <w:t>DIGITÁLNÍCH FINANČNÍCH AKTIV</w:t>
      </w:r>
      <w:r w:rsidR="00540322" w:rsidRPr="004333CE">
        <w:rPr>
          <w:sz w:val="24"/>
          <w:szCs w:val="24"/>
          <w:lang w:val="cs-CZ"/>
        </w:rPr>
        <w:t xml:space="preserve">. – </w:t>
      </w:r>
      <w:r>
        <w:rPr>
          <w:sz w:val="24"/>
          <w:szCs w:val="24"/>
          <w:lang w:val="cs-CZ"/>
        </w:rPr>
        <w:t xml:space="preserve">Burzou </w:t>
      </w:r>
      <w:r w:rsidR="007C542F">
        <w:rPr>
          <w:sz w:val="24"/>
          <w:szCs w:val="24"/>
          <w:lang w:val="cs-CZ"/>
        </w:rPr>
        <w:t>digitálních finančních aktiv</w:t>
      </w:r>
      <w:r>
        <w:rPr>
          <w:sz w:val="24"/>
          <w:szCs w:val="24"/>
          <w:lang w:val="cs-CZ"/>
        </w:rPr>
        <w:t xml:space="preserve"> se pro účely tohoto zákona rozumí instituce </w:t>
      </w:r>
      <w:proofErr w:type="spellStart"/>
      <w:r w:rsidRPr="00D34A73">
        <w:rPr>
          <w:sz w:val="24"/>
          <w:szCs w:val="24"/>
          <w:lang w:val="cs-CZ"/>
        </w:rPr>
        <w:t>facilitující</w:t>
      </w:r>
      <w:proofErr w:type="spellEnd"/>
      <w:r w:rsidRPr="00D34A73">
        <w:rPr>
          <w:sz w:val="24"/>
          <w:szCs w:val="24"/>
          <w:lang w:val="cs-CZ"/>
        </w:rPr>
        <w:t xml:space="preserve"> obchodování s</w:t>
      </w:r>
      <w:r w:rsidR="007C542F">
        <w:rPr>
          <w:sz w:val="24"/>
          <w:szCs w:val="24"/>
          <w:lang w:val="cs-CZ"/>
        </w:rPr>
        <w:t> </w:t>
      </w:r>
      <w:proofErr w:type="spellStart"/>
      <w:r w:rsidRPr="00D34A73">
        <w:rPr>
          <w:sz w:val="24"/>
          <w:szCs w:val="24"/>
          <w:lang w:val="cs-CZ"/>
        </w:rPr>
        <w:t>kryptoměnami</w:t>
      </w:r>
      <w:proofErr w:type="spellEnd"/>
      <w:r w:rsidR="007C542F">
        <w:rPr>
          <w:sz w:val="24"/>
          <w:szCs w:val="24"/>
          <w:lang w:val="cs-CZ"/>
        </w:rPr>
        <w:t xml:space="preserve"> a tokeny</w:t>
      </w:r>
      <w:r w:rsidR="000C70E1">
        <w:rPr>
          <w:sz w:val="24"/>
          <w:szCs w:val="24"/>
          <w:lang w:val="cs-CZ"/>
        </w:rPr>
        <w:t>.</w:t>
      </w:r>
    </w:p>
    <w:p w14:paraId="7BEEEE78" w14:textId="48A8760F" w:rsidR="00540322" w:rsidRPr="004333CE" w:rsidRDefault="000C70E1" w:rsidP="009E776E">
      <w:pPr>
        <w:pStyle w:val="Odstavecseseznamem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DERIVÁTY</w:t>
      </w:r>
      <w:r w:rsidR="009C104E">
        <w:rPr>
          <w:sz w:val="24"/>
          <w:szCs w:val="24"/>
          <w:lang w:val="cs-CZ"/>
        </w:rPr>
        <w:t xml:space="preserve"> DIGITÁLNÍCH FINANČNÍCH AKTIV</w:t>
      </w:r>
      <w:r>
        <w:rPr>
          <w:sz w:val="24"/>
          <w:szCs w:val="24"/>
          <w:lang w:val="cs-CZ"/>
        </w:rPr>
        <w:t xml:space="preserve">. - </w:t>
      </w:r>
      <w:r w:rsidRPr="000C70E1">
        <w:rPr>
          <w:sz w:val="24"/>
          <w:szCs w:val="24"/>
          <w:lang w:val="cs-CZ"/>
        </w:rPr>
        <w:t xml:space="preserve">derivátové instrumenty, jejichž podkladovým aktivem </w:t>
      </w:r>
      <w:r w:rsidR="009C104E">
        <w:rPr>
          <w:sz w:val="24"/>
          <w:szCs w:val="24"/>
          <w:lang w:val="cs-CZ"/>
        </w:rPr>
        <w:t>jsou</w:t>
      </w:r>
      <w:r w:rsidRPr="000C70E1">
        <w:rPr>
          <w:sz w:val="24"/>
          <w:szCs w:val="24"/>
          <w:lang w:val="cs-CZ"/>
        </w:rPr>
        <w:t xml:space="preserve"> </w:t>
      </w:r>
      <w:proofErr w:type="spellStart"/>
      <w:r w:rsidRPr="000C70E1">
        <w:rPr>
          <w:sz w:val="24"/>
          <w:szCs w:val="24"/>
          <w:lang w:val="cs-CZ"/>
        </w:rPr>
        <w:t>kr</w:t>
      </w:r>
      <w:r w:rsidR="009C104E">
        <w:rPr>
          <w:sz w:val="24"/>
          <w:szCs w:val="24"/>
          <w:lang w:val="cs-CZ"/>
        </w:rPr>
        <w:t>yptoměny</w:t>
      </w:r>
      <w:proofErr w:type="spellEnd"/>
      <w:r w:rsidR="009C104E">
        <w:rPr>
          <w:sz w:val="24"/>
          <w:szCs w:val="24"/>
          <w:lang w:val="cs-CZ"/>
        </w:rPr>
        <w:t xml:space="preserve"> či tokeny</w:t>
      </w:r>
      <w:r>
        <w:rPr>
          <w:sz w:val="24"/>
          <w:szCs w:val="24"/>
          <w:lang w:val="cs-CZ"/>
        </w:rPr>
        <w:t>.</w:t>
      </w:r>
    </w:p>
    <w:p w14:paraId="660E825E" w14:textId="77777777" w:rsidR="000C70E1" w:rsidRDefault="000C70E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</w:p>
    <w:p w14:paraId="638C537D" w14:textId="3AD4C8E6" w:rsidR="00765B51" w:rsidRPr="004333CE" w:rsidRDefault="00765B51" w:rsidP="00651695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Hlava II –</w:t>
      </w:r>
      <w:r w:rsidR="00B365D3" w:rsidRPr="004333CE">
        <w:rPr>
          <w:b/>
          <w:sz w:val="24"/>
          <w:szCs w:val="24"/>
          <w:lang w:val="cs-CZ"/>
        </w:rPr>
        <w:t xml:space="preserve"> </w:t>
      </w:r>
      <w:r w:rsidR="002D1C9D">
        <w:rPr>
          <w:b/>
          <w:sz w:val="24"/>
          <w:szCs w:val="24"/>
          <w:lang w:val="cs-CZ"/>
        </w:rPr>
        <w:t>Základní ustanovení</w:t>
      </w:r>
      <w:r w:rsidR="00756148">
        <w:rPr>
          <w:b/>
          <w:sz w:val="24"/>
          <w:szCs w:val="24"/>
          <w:lang w:val="cs-CZ"/>
        </w:rPr>
        <w:t xml:space="preserve"> </w:t>
      </w:r>
    </w:p>
    <w:p w14:paraId="46B4E308" w14:textId="1F1F560B" w:rsidR="00765B51" w:rsidRPr="004333CE" w:rsidRDefault="00765B51" w:rsidP="00263378">
      <w:pPr>
        <w:spacing w:after="120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Par. 201. </w:t>
      </w:r>
      <w:r w:rsidR="006F4AF7">
        <w:rPr>
          <w:b/>
          <w:sz w:val="24"/>
          <w:szCs w:val="24"/>
          <w:lang w:val="cs-CZ"/>
        </w:rPr>
        <w:t>Digitální finanční aktiva</w:t>
      </w:r>
      <w:r w:rsidR="005E3299" w:rsidRPr="004333CE">
        <w:rPr>
          <w:b/>
          <w:sz w:val="24"/>
          <w:szCs w:val="24"/>
          <w:lang w:val="cs-CZ"/>
        </w:rPr>
        <w:t xml:space="preserve">. </w:t>
      </w:r>
    </w:p>
    <w:p w14:paraId="32A0DD6A" w14:textId="6A312F53" w:rsidR="00263378" w:rsidRPr="006F4AF7" w:rsidRDefault="006F4AF7" w:rsidP="006F4AF7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6F4AF7">
        <w:rPr>
          <w:rFonts w:eastAsia="Tahoma"/>
          <w:sz w:val="24"/>
          <w:szCs w:val="24"/>
          <w:lang w:val="cs-CZ"/>
        </w:rPr>
        <w:t>Digitální</w:t>
      </w:r>
      <w:r w:rsidRPr="006F4AF7">
        <w:rPr>
          <w:sz w:val="24"/>
          <w:szCs w:val="24"/>
          <w:lang w:val="cs-CZ"/>
        </w:rPr>
        <w:t xml:space="preserve"> finanční aktiva nejsou zákonným platebním prostředkem na území Spojených států amerických</w:t>
      </w:r>
      <w:r w:rsidR="00641104" w:rsidRPr="006F4AF7">
        <w:rPr>
          <w:sz w:val="24"/>
          <w:szCs w:val="24"/>
          <w:lang w:val="cs-CZ"/>
        </w:rPr>
        <w:t xml:space="preserve">. </w:t>
      </w:r>
      <w:r w:rsidR="005E3299" w:rsidRPr="006F4AF7">
        <w:rPr>
          <w:sz w:val="24"/>
          <w:szCs w:val="24"/>
          <w:lang w:val="cs-CZ"/>
        </w:rPr>
        <w:t xml:space="preserve">  </w:t>
      </w:r>
    </w:p>
    <w:p w14:paraId="7BF1732B" w14:textId="3D178013" w:rsidR="006F4AF7" w:rsidRPr="006F4AF7" w:rsidRDefault="006F4AF7" w:rsidP="006F4AF7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Vlastnictví digitálních finančních aktiv je evidováno záznamem v registru digitálních transakcí.</w:t>
      </w:r>
    </w:p>
    <w:p w14:paraId="780B4A07" w14:textId="77777777" w:rsidR="00392D51" w:rsidRPr="00392D51" w:rsidRDefault="00392D51" w:rsidP="00DC038F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392D51">
        <w:rPr>
          <w:sz w:val="24"/>
          <w:szCs w:val="24"/>
          <w:lang w:val="cs-CZ"/>
        </w:rPr>
        <w:t>Vlastníci</w:t>
      </w:r>
      <w:r w:rsidR="006F4AF7" w:rsidRPr="00392D51">
        <w:rPr>
          <w:sz w:val="24"/>
          <w:szCs w:val="24"/>
          <w:lang w:val="cs-CZ"/>
        </w:rPr>
        <w:t xml:space="preserve"> digitálních finančních aktiv mají právo </w:t>
      </w:r>
      <w:r w:rsidRPr="00392D51">
        <w:rPr>
          <w:sz w:val="24"/>
          <w:szCs w:val="24"/>
          <w:lang w:val="cs-CZ"/>
        </w:rPr>
        <w:t>provádět</w:t>
      </w:r>
      <w:r w:rsidR="006F4AF7" w:rsidRPr="00392D51">
        <w:rPr>
          <w:sz w:val="24"/>
          <w:szCs w:val="24"/>
          <w:lang w:val="cs-CZ"/>
        </w:rPr>
        <w:t xml:space="preserve"> transakce za účelem výměny digitálních finančních aktiv jednoho druhu za digitální finanční aktiva jiného </w:t>
      </w:r>
      <w:r w:rsidRPr="00392D51">
        <w:rPr>
          <w:sz w:val="24"/>
          <w:szCs w:val="24"/>
          <w:lang w:val="cs-CZ"/>
        </w:rPr>
        <w:t>typu</w:t>
      </w:r>
      <w:r w:rsidR="006F4AF7" w:rsidRPr="00392D51">
        <w:rPr>
          <w:sz w:val="24"/>
          <w:szCs w:val="24"/>
          <w:lang w:val="cs-CZ"/>
        </w:rPr>
        <w:t xml:space="preserve"> anebo</w:t>
      </w:r>
      <w:r w:rsidRPr="00392D51">
        <w:rPr>
          <w:sz w:val="24"/>
          <w:szCs w:val="24"/>
          <w:lang w:val="cs-CZ"/>
        </w:rPr>
        <w:t xml:space="preserve"> výměny</w:t>
      </w:r>
      <w:r w:rsidR="006F4AF7" w:rsidRPr="00392D51">
        <w:rPr>
          <w:sz w:val="24"/>
          <w:szCs w:val="24"/>
          <w:lang w:val="cs-CZ"/>
        </w:rPr>
        <w:t xml:space="preserve"> digitálních finančních aktiv za </w:t>
      </w:r>
      <w:r w:rsidRPr="00392D51">
        <w:rPr>
          <w:sz w:val="24"/>
          <w:szCs w:val="24"/>
          <w:lang w:val="cs-CZ"/>
        </w:rPr>
        <w:t>dolary</w:t>
      </w:r>
      <w:r w:rsidR="006F4AF7" w:rsidRPr="00392D51">
        <w:rPr>
          <w:sz w:val="24"/>
          <w:szCs w:val="24"/>
          <w:lang w:val="cs-CZ"/>
        </w:rPr>
        <w:t xml:space="preserve">, cizí měnu </w:t>
      </w:r>
      <w:r w:rsidRPr="00392D51">
        <w:rPr>
          <w:sz w:val="24"/>
          <w:szCs w:val="24"/>
          <w:lang w:val="cs-CZ"/>
        </w:rPr>
        <w:t>anebo jiná aktiva</w:t>
      </w:r>
      <w:r>
        <w:rPr>
          <w:sz w:val="24"/>
          <w:szCs w:val="24"/>
          <w:lang w:val="cs-CZ"/>
        </w:rPr>
        <w:t>.</w:t>
      </w:r>
    </w:p>
    <w:p w14:paraId="79EAEB01" w14:textId="1070AE22" w:rsidR="006F4AF7" w:rsidRPr="00392D51" w:rsidRDefault="006F4AF7" w:rsidP="000A394E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392D51">
        <w:rPr>
          <w:b/>
          <w:sz w:val="24"/>
          <w:szCs w:val="24"/>
          <w:lang w:val="cs-CZ"/>
        </w:rPr>
        <w:t xml:space="preserve">Par. 202. </w:t>
      </w:r>
      <w:r w:rsidR="00F70F07">
        <w:rPr>
          <w:b/>
          <w:sz w:val="24"/>
          <w:szCs w:val="24"/>
          <w:lang w:val="cs-CZ"/>
        </w:rPr>
        <w:t>Poskytovatelé digitálních peněženek.</w:t>
      </w:r>
    </w:p>
    <w:p w14:paraId="219DBEF9" w14:textId="47A0E63B" w:rsidR="006F4AF7" w:rsidRPr="00F70F07" w:rsidRDefault="00F70F07" w:rsidP="006F4AF7">
      <w:pPr>
        <w:pStyle w:val="Odstavecseseznamem"/>
        <w:numPr>
          <w:ilvl w:val="0"/>
          <w:numId w:val="36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Poskytovatelem digitální peněženky může být pouze právnická osoba, která vznikla v souladu s právními předpisy Spojených států amerických.</w:t>
      </w:r>
    </w:p>
    <w:p w14:paraId="02AD3875" w14:textId="1FEF2260" w:rsidR="00F70F07" w:rsidRDefault="00F70F07" w:rsidP="006F4AF7">
      <w:pPr>
        <w:pStyle w:val="Odstavecseseznamem"/>
        <w:numPr>
          <w:ilvl w:val="0"/>
          <w:numId w:val="36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F70F07">
        <w:rPr>
          <w:sz w:val="24"/>
          <w:szCs w:val="24"/>
          <w:lang w:val="cs-CZ"/>
        </w:rPr>
        <w:t>Poskytovatelé digitálních peněženek mají povinnost uchovávat databázi svých klientů, objem uložených prostředků a historii pohybu prostředků</w:t>
      </w:r>
      <w:r w:rsidR="00F36D19">
        <w:rPr>
          <w:sz w:val="24"/>
          <w:szCs w:val="24"/>
          <w:lang w:val="cs-CZ"/>
        </w:rPr>
        <w:t xml:space="preserve"> nejméně</w:t>
      </w:r>
      <w:r w:rsidRPr="00F70F0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po dobu pěti let. </w:t>
      </w:r>
    </w:p>
    <w:p w14:paraId="067A0366" w14:textId="1A9C116C" w:rsidR="0027696F" w:rsidRDefault="0027696F" w:rsidP="0027696F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27696F">
        <w:rPr>
          <w:b/>
          <w:sz w:val="24"/>
          <w:szCs w:val="24"/>
          <w:lang w:val="cs-CZ"/>
        </w:rPr>
        <w:t>Par. 203. Zákaz poskytování financování investic.</w:t>
      </w:r>
    </w:p>
    <w:p w14:paraId="70551733" w14:textId="560DDA5B" w:rsidR="0027696F" w:rsidRPr="00FD3F8E" w:rsidRDefault="0027696F" w:rsidP="0027696F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Poskyt</w:t>
      </w:r>
      <w:r w:rsidR="00FD3F8E">
        <w:rPr>
          <w:sz w:val="24"/>
          <w:szCs w:val="24"/>
          <w:lang w:val="cs-CZ"/>
        </w:rPr>
        <w:t>ování úvěrů a dalších finančních produktů za účelem investic do digitálních finančních aktiv se nepřipouští.</w:t>
      </w:r>
    </w:p>
    <w:p w14:paraId="6C7EAE85" w14:textId="0BFD312A" w:rsidR="00FD3F8E" w:rsidRPr="0027696F" w:rsidRDefault="00FD3F8E" w:rsidP="0027696F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Porušení předchozího odstavce </w:t>
      </w:r>
      <w:r w:rsidR="00351A7E">
        <w:rPr>
          <w:sz w:val="24"/>
          <w:szCs w:val="24"/>
          <w:lang w:val="cs-CZ"/>
        </w:rPr>
        <w:t>je sankcionováno</w:t>
      </w:r>
      <w:r>
        <w:rPr>
          <w:sz w:val="24"/>
          <w:szCs w:val="24"/>
          <w:lang w:val="cs-CZ"/>
        </w:rPr>
        <w:t xml:space="preserve"> pokutou v rozmezí </w:t>
      </w:r>
      <w:r w:rsidR="003A166A">
        <w:rPr>
          <w:sz w:val="24"/>
          <w:szCs w:val="24"/>
          <w:lang w:val="cs-CZ"/>
        </w:rPr>
        <w:t xml:space="preserve">100 </w:t>
      </w:r>
      <w:r>
        <w:rPr>
          <w:sz w:val="24"/>
          <w:szCs w:val="24"/>
          <w:lang w:val="cs-CZ"/>
        </w:rPr>
        <w:t xml:space="preserve">000 </w:t>
      </w:r>
      <w:r w:rsidR="003A166A">
        <w:rPr>
          <w:sz w:val="24"/>
          <w:szCs w:val="24"/>
          <w:lang w:val="cs-CZ"/>
        </w:rPr>
        <w:t xml:space="preserve">USD – 500 </w:t>
      </w:r>
      <w:r>
        <w:rPr>
          <w:sz w:val="24"/>
          <w:szCs w:val="24"/>
          <w:lang w:val="cs-CZ"/>
        </w:rPr>
        <w:t>00</w:t>
      </w:r>
      <w:r w:rsidR="003A166A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 xml:space="preserve"> </w:t>
      </w:r>
      <w:r w:rsidR="003A166A">
        <w:rPr>
          <w:sz w:val="24"/>
          <w:szCs w:val="24"/>
          <w:lang w:val="cs-CZ"/>
        </w:rPr>
        <w:t>USD.</w:t>
      </w:r>
    </w:p>
    <w:p w14:paraId="3B409822" w14:textId="77777777" w:rsidR="00514328" w:rsidRPr="004333CE" w:rsidRDefault="00514328" w:rsidP="00514328">
      <w:pPr>
        <w:pStyle w:val="Odstavecseseznamem"/>
        <w:spacing w:after="120"/>
        <w:ind w:left="360"/>
        <w:rPr>
          <w:sz w:val="24"/>
          <w:szCs w:val="24"/>
          <w:lang w:val="cs-CZ"/>
        </w:rPr>
      </w:pPr>
    </w:p>
    <w:p w14:paraId="6AD941EE" w14:textId="24B03003" w:rsidR="00514328" w:rsidRPr="004333CE" w:rsidRDefault="00514328" w:rsidP="00514328">
      <w:pPr>
        <w:pStyle w:val="Odstavecseseznamem"/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Hlava III. – </w:t>
      </w:r>
      <w:r w:rsidR="002D1C9D">
        <w:rPr>
          <w:b/>
          <w:sz w:val="24"/>
          <w:szCs w:val="24"/>
          <w:lang w:val="cs-CZ"/>
        </w:rPr>
        <w:t>Transakce a obchodování s digitálními finančními aktivy</w:t>
      </w:r>
    </w:p>
    <w:p w14:paraId="737C7FD7" w14:textId="3D6EE52F" w:rsidR="003A7812" w:rsidRDefault="004F6633" w:rsidP="00263378">
      <w:pPr>
        <w:spacing w:after="120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</w:t>
      </w:r>
      <w:r w:rsidR="00514328" w:rsidRPr="004333CE">
        <w:rPr>
          <w:b/>
          <w:sz w:val="24"/>
          <w:szCs w:val="24"/>
          <w:lang w:val="cs-CZ"/>
        </w:rPr>
        <w:t>ar. 301</w:t>
      </w:r>
      <w:r w:rsidRPr="004333CE">
        <w:rPr>
          <w:b/>
          <w:sz w:val="24"/>
          <w:szCs w:val="24"/>
          <w:lang w:val="cs-CZ"/>
        </w:rPr>
        <w:t xml:space="preserve">. </w:t>
      </w:r>
      <w:r w:rsidR="002D1C9D">
        <w:rPr>
          <w:b/>
          <w:sz w:val="24"/>
          <w:szCs w:val="24"/>
          <w:lang w:val="cs-CZ"/>
        </w:rPr>
        <w:t>Burzy digitálních finančních aktiv.</w:t>
      </w:r>
    </w:p>
    <w:p w14:paraId="22FF1DE0" w14:textId="77777777" w:rsidR="00F36D19" w:rsidRDefault="00F36D19" w:rsidP="00351A7E">
      <w:pPr>
        <w:pStyle w:val="Odstavecseseznamem"/>
        <w:numPr>
          <w:ilvl w:val="0"/>
          <w:numId w:val="40"/>
        </w:numPr>
        <w:spacing w:after="120" w:line="360" w:lineRule="auto"/>
        <w:jc w:val="both"/>
        <w:rPr>
          <w:sz w:val="24"/>
          <w:szCs w:val="24"/>
          <w:lang w:val="cs-CZ"/>
        </w:rPr>
      </w:pPr>
      <w:r w:rsidRPr="00F36D19">
        <w:rPr>
          <w:sz w:val="24"/>
          <w:szCs w:val="24"/>
          <w:lang w:val="cs-CZ"/>
        </w:rPr>
        <w:t xml:space="preserve">Burzy </w:t>
      </w:r>
      <w:r>
        <w:rPr>
          <w:sz w:val="24"/>
          <w:szCs w:val="24"/>
          <w:lang w:val="cs-CZ"/>
        </w:rPr>
        <w:t>digitálních finančních aktiv</w:t>
      </w:r>
      <w:r w:rsidRPr="00F36D19">
        <w:rPr>
          <w:sz w:val="24"/>
          <w:szCs w:val="24"/>
          <w:lang w:val="cs-CZ"/>
        </w:rPr>
        <w:t xml:space="preserve"> mají povinnost vést evidenci všech klientů a historii transakcí nejméně </w:t>
      </w:r>
      <w:r>
        <w:rPr>
          <w:sz w:val="24"/>
          <w:szCs w:val="24"/>
          <w:lang w:val="cs-CZ"/>
        </w:rPr>
        <w:t xml:space="preserve">po dobu </w:t>
      </w:r>
      <w:r w:rsidRPr="00F36D19">
        <w:rPr>
          <w:sz w:val="24"/>
          <w:szCs w:val="24"/>
          <w:lang w:val="cs-CZ"/>
        </w:rPr>
        <w:t>pět</w:t>
      </w:r>
      <w:r>
        <w:rPr>
          <w:sz w:val="24"/>
          <w:szCs w:val="24"/>
          <w:lang w:val="cs-CZ"/>
        </w:rPr>
        <w:t>i</w:t>
      </w:r>
      <w:r w:rsidRPr="00F36D19">
        <w:rPr>
          <w:sz w:val="24"/>
          <w:szCs w:val="24"/>
          <w:lang w:val="cs-CZ"/>
        </w:rPr>
        <w:t xml:space="preserve"> let. </w:t>
      </w:r>
    </w:p>
    <w:p w14:paraId="625B2306" w14:textId="6166B8A0" w:rsidR="00F36D19" w:rsidRPr="00F36D19" w:rsidRDefault="00F36D19" w:rsidP="00351A7E">
      <w:pPr>
        <w:pStyle w:val="Odstavecseseznamem"/>
        <w:numPr>
          <w:ilvl w:val="0"/>
          <w:numId w:val="40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Burzy digitálních finančních aktiv</w:t>
      </w:r>
      <w:r w:rsidRPr="00F36D1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jsou povinny </w:t>
      </w:r>
      <w:r w:rsidRPr="00F36D19">
        <w:rPr>
          <w:sz w:val="24"/>
          <w:szCs w:val="24"/>
          <w:lang w:val="cs-CZ"/>
        </w:rPr>
        <w:t xml:space="preserve">informovat </w:t>
      </w:r>
      <w:r>
        <w:rPr>
          <w:sz w:val="24"/>
          <w:szCs w:val="24"/>
          <w:lang w:val="cs-CZ"/>
        </w:rPr>
        <w:t xml:space="preserve">Komisi pro termínové obchody (CFTC) </w:t>
      </w:r>
      <w:r w:rsidR="009C104E">
        <w:rPr>
          <w:sz w:val="24"/>
          <w:szCs w:val="24"/>
          <w:lang w:val="cs-CZ"/>
        </w:rPr>
        <w:t>o nestandardních transakcích.</w:t>
      </w:r>
    </w:p>
    <w:p w14:paraId="4BD237B1" w14:textId="41AA5665" w:rsidR="00FA6D0B" w:rsidRDefault="00FA6D0B" w:rsidP="00FA6D0B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lastRenderedPageBreak/>
        <w:t xml:space="preserve">Par. 302.  </w:t>
      </w:r>
      <w:r w:rsidR="00351A7E">
        <w:rPr>
          <w:b/>
          <w:sz w:val="24"/>
          <w:szCs w:val="24"/>
          <w:lang w:val="cs-CZ"/>
        </w:rPr>
        <w:t>D</w:t>
      </w:r>
      <w:r w:rsidR="009C104E">
        <w:rPr>
          <w:b/>
          <w:sz w:val="24"/>
          <w:szCs w:val="24"/>
          <w:lang w:val="cs-CZ"/>
        </w:rPr>
        <w:t>eriváty</w:t>
      </w:r>
      <w:r w:rsidR="00351A7E">
        <w:rPr>
          <w:b/>
          <w:sz w:val="24"/>
          <w:szCs w:val="24"/>
          <w:lang w:val="cs-CZ"/>
        </w:rPr>
        <w:t xml:space="preserve"> digitálních finančních aktiv</w:t>
      </w:r>
      <w:r w:rsidR="009C104E">
        <w:rPr>
          <w:b/>
          <w:sz w:val="24"/>
          <w:szCs w:val="24"/>
          <w:lang w:val="cs-CZ"/>
        </w:rPr>
        <w:t>.</w:t>
      </w:r>
      <w:r w:rsidRPr="004333CE">
        <w:rPr>
          <w:b/>
          <w:sz w:val="24"/>
          <w:szCs w:val="24"/>
          <w:lang w:val="cs-CZ"/>
        </w:rPr>
        <w:t xml:space="preserve"> </w:t>
      </w:r>
    </w:p>
    <w:p w14:paraId="6887C8E7" w14:textId="180BBD19" w:rsidR="009C104E" w:rsidRDefault="00351A7E" w:rsidP="00351A7E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</w:t>
      </w:r>
      <w:r w:rsidR="009C104E" w:rsidRPr="009C104E">
        <w:rPr>
          <w:sz w:val="24"/>
          <w:szCs w:val="24"/>
          <w:lang w:val="cs-CZ"/>
        </w:rPr>
        <w:t xml:space="preserve">eriváty </w:t>
      </w:r>
      <w:r>
        <w:rPr>
          <w:sz w:val="24"/>
          <w:szCs w:val="24"/>
          <w:lang w:val="cs-CZ"/>
        </w:rPr>
        <w:t xml:space="preserve">digitálních finančních aktiv </w:t>
      </w:r>
      <w:r w:rsidR="009C104E" w:rsidRPr="009C104E">
        <w:rPr>
          <w:sz w:val="24"/>
          <w:szCs w:val="24"/>
          <w:lang w:val="cs-CZ"/>
        </w:rPr>
        <w:t>mohou být retailovými investory obchodovány pouze na burzách</w:t>
      </w:r>
      <w:r w:rsidR="009C104E">
        <w:rPr>
          <w:sz w:val="24"/>
          <w:szCs w:val="24"/>
          <w:lang w:val="cs-CZ"/>
        </w:rPr>
        <w:t xml:space="preserve">, které byly certifikovány </w:t>
      </w:r>
      <w:r w:rsidR="009C104E" w:rsidRPr="009C104E">
        <w:rPr>
          <w:sz w:val="24"/>
          <w:szCs w:val="24"/>
          <w:lang w:val="cs-CZ"/>
        </w:rPr>
        <w:t>CFTC</w:t>
      </w:r>
      <w:r w:rsidR="009C104E">
        <w:rPr>
          <w:sz w:val="24"/>
          <w:szCs w:val="24"/>
          <w:lang w:val="cs-CZ"/>
        </w:rPr>
        <w:t>.</w:t>
      </w:r>
    </w:p>
    <w:p w14:paraId="18908D6D" w14:textId="2A13F8A5" w:rsidR="00351A7E" w:rsidRDefault="00351A7E" w:rsidP="00351A7E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Burzy digitálních finančních aktiv nesmí </w:t>
      </w:r>
      <w:r w:rsidR="008C67B8">
        <w:rPr>
          <w:sz w:val="24"/>
          <w:szCs w:val="24"/>
          <w:lang w:val="cs-CZ"/>
        </w:rPr>
        <w:t xml:space="preserve">aktivně </w:t>
      </w:r>
      <w:r>
        <w:rPr>
          <w:sz w:val="24"/>
          <w:szCs w:val="24"/>
          <w:lang w:val="cs-CZ"/>
        </w:rPr>
        <w:t>nabízet d</w:t>
      </w:r>
      <w:r w:rsidRPr="009C104E">
        <w:rPr>
          <w:sz w:val="24"/>
          <w:szCs w:val="24"/>
          <w:lang w:val="cs-CZ"/>
        </w:rPr>
        <w:t xml:space="preserve">eriváty </w:t>
      </w:r>
      <w:r>
        <w:rPr>
          <w:sz w:val="24"/>
          <w:szCs w:val="24"/>
          <w:lang w:val="cs-CZ"/>
        </w:rPr>
        <w:t>digitálních finančních aktiv</w:t>
      </w:r>
      <w:r>
        <w:rPr>
          <w:sz w:val="24"/>
          <w:szCs w:val="24"/>
          <w:lang w:val="cs-CZ"/>
        </w:rPr>
        <w:t xml:space="preserve"> retailovým a nekvalifikovaným investorům.</w:t>
      </w:r>
    </w:p>
    <w:p w14:paraId="324A386B" w14:textId="2C1D9CA1" w:rsidR="00351A7E" w:rsidRDefault="00351A7E" w:rsidP="00351A7E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Porušení předchozího odstavce je sankcionováno odebráním certifikace u CFTC.</w:t>
      </w:r>
    </w:p>
    <w:p w14:paraId="070E9A91" w14:textId="2A3BAE9F" w:rsidR="008D6BC0" w:rsidRDefault="00FA6E12" w:rsidP="00351A7E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Penzijní fondy a bankovní instituce, které mají své depozity pojištěny u Federální depozitní pojišťovací korporace (FDIC), nesmějí obchodovat s deriváty digitálních finančních aktiv.</w:t>
      </w:r>
    </w:p>
    <w:p w14:paraId="4EA6D3F1" w14:textId="1C58563D" w:rsidR="00442DDD" w:rsidRDefault="00442DDD" w:rsidP="00351A7E">
      <w:pPr>
        <w:pStyle w:val="Odstavecseseznamem"/>
        <w:numPr>
          <w:ilvl w:val="0"/>
          <w:numId w:val="41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Působnost Dodd-Frank </w:t>
      </w:r>
      <w:proofErr w:type="spellStart"/>
      <w:r>
        <w:rPr>
          <w:sz w:val="24"/>
          <w:szCs w:val="24"/>
          <w:lang w:val="cs-CZ"/>
        </w:rPr>
        <w:t>Act</w:t>
      </w:r>
      <w:proofErr w:type="spellEnd"/>
      <w:r>
        <w:rPr>
          <w:sz w:val="24"/>
          <w:szCs w:val="24"/>
          <w:lang w:val="cs-CZ"/>
        </w:rPr>
        <w:t xml:space="preserve"> se vztahuje na investiční banky, které jsou regulované Federálním rezervním systémem a které nabízejí deriváty digitálních finančních aktiv.</w:t>
      </w:r>
    </w:p>
    <w:p w14:paraId="03F133C3" w14:textId="609DC44A" w:rsidR="001D36B2" w:rsidRDefault="001D36B2" w:rsidP="001D36B2">
      <w:pPr>
        <w:spacing w:after="120" w:line="360" w:lineRule="auto"/>
        <w:jc w:val="both"/>
        <w:rPr>
          <w:sz w:val="24"/>
          <w:szCs w:val="24"/>
          <w:lang w:val="cs-CZ"/>
        </w:rPr>
      </w:pPr>
    </w:p>
    <w:p w14:paraId="1F802EB1" w14:textId="35EFF232" w:rsidR="001D36B2" w:rsidRPr="00AD2810" w:rsidRDefault="001D36B2" w:rsidP="00AD2810">
      <w:pPr>
        <w:pStyle w:val="Odstavecseseznamem"/>
        <w:spacing w:after="120"/>
        <w:ind w:left="360"/>
        <w:jc w:val="center"/>
        <w:rPr>
          <w:b/>
          <w:sz w:val="24"/>
          <w:szCs w:val="24"/>
          <w:lang w:val="cs-CZ"/>
        </w:rPr>
      </w:pPr>
      <w:r w:rsidRPr="00AD2810">
        <w:rPr>
          <w:b/>
          <w:sz w:val="24"/>
          <w:szCs w:val="24"/>
          <w:lang w:val="cs-CZ"/>
        </w:rPr>
        <w:t xml:space="preserve">Hlava IV. </w:t>
      </w:r>
      <w:r w:rsidR="00AD2810" w:rsidRPr="00AD2810">
        <w:rPr>
          <w:b/>
          <w:sz w:val="24"/>
          <w:szCs w:val="24"/>
          <w:lang w:val="cs-CZ"/>
        </w:rPr>
        <w:t>–</w:t>
      </w:r>
      <w:r w:rsidRPr="00AD2810">
        <w:rPr>
          <w:b/>
          <w:sz w:val="24"/>
          <w:szCs w:val="24"/>
          <w:lang w:val="cs-CZ"/>
        </w:rPr>
        <w:t xml:space="preserve"> </w:t>
      </w:r>
      <w:r w:rsidR="00AD2810">
        <w:rPr>
          <w:b/>
          <w:sz w:val="24"/>
          <w:szCs w:val="24"/>
          <w:lang w:val="cs-CZ"/>
        </w:rPr>
        <w:t>Zdanění digitálních finančních aktiv</w:t>
      </w:r>
    </w:p>
    <w:p w14:paraId="58DFF2DC" w14:textId="723B5B39" w:rsidR="00B81D97" w:rsidRDefault="00B81D97" w:rsidP="00B81D97">
      <w:pPr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 xml:space="preserve">Par. </w:t>
      </w:r>
      <w:r w:rsidR="00A80D0E">
        <w:rPr>
          <w:b/>
          <w:sz w:val="24"/>
          <w:szCs w:val="24"/>
          <w:lang w:val="cs-CZ"/>
        </w:rPr>
        <w:t>401</w:t>
      </w:r>
      <w:r w:rsidR="00D22E43" w:rsidRPr="004333CE">
        <w:rPr>
          <w:b/>
          <w:sz w:val="24"/>
          <w:szCs w:val="24"/>
          <w:lang w:val="cs-CZ"/>
        </w:rPr>
        <w:t xml:space="preserve">. </w:t>
      </w:r>
      <w:r w:rsidR="00AD2810">
        <w:rPr>
          <w:b/>
          <w:sz w:val="24"/>
          <w:szCs w:val="24"/>
          <w:lang w:val="cs-CZ"/>
        </w:rPr>
        <w:t>Daň z kapitálových zisků</w:t>
      </w:r>
      <w:r w:rsidR="003E7F85">
        <w:rPr>
          <w:b/>
          <w:sz w:val="24"/>
          <w:szCs w:val="24"/>
          <w:lang w:val="cs-CZ"/>
        </w:rPr>
        <w:t>.</w:t>
      </w:r>
    </w:p>
    <w:p w14:paraId="5AA73AE5" w14:textId="59EC4E4E" w:rsidR="003E7F85" w:rsidRDefault="003E7F85" w:rsidP="003E7F85">
      <w:pPr>
        <w:pStyle w:val="Odstavecseseznamem"/>
        <w:numPr>
          <w:ilvl w:val="0"/>
          <w:numId w:val="4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Digitální finanční aktiva podléhají dani z kapitálových zisků.</w:t>
      </w:r>
    </w:p>
    <w:p w14:paraId="5984FB26" w14:textId="6379439C" w:rsidR="00FA0FE5" w:rsidRDefault="00FA0FE5" w:rsidP="003E7F85">
      <w:pPr>
        <w:pStyle w:val="Odstavecseseznamem"/>
        <w:numPr>
          <w:ilvl w:val="0"/>
          <w:numId w:val="4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Daňoví poplatníci mají povinnost vykázat kapitálový příjem z digitálních finančních aktiv v daňovém přiznání. </w:t>
      </w:r>
    </w:p>
    <w:p w14:paraId="34B8CBD8" w14:textId="595B1886" w:rsidR="00FA0FE5" w:rsidRPr="00FA0FE5" w:rsidRDefault="003E7F85" w:rsidP="00FA0FE5">
      <w:pPr>
        <w:pStyle w:val="Odstavecseseznamem"/>
        <w:numPr>
          <w:ilvl w:val="0"/>
          <w:numId w:val="44"/>
        </w:numPr>
        <w:spacing w:after="120"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Digitální finanční aktiva nepodléhají zdanění, jestliže jsou použita jako prostředek k platbě za zboží a služby. </w:t>
      </w:r>
      <w:bookmarkStart w:id="0" w:name="_GoBack"/>
      <w:bookmarkEnd w:id="0"/>
    </w:p>
    <w:p w14:paraId="60F7405A" w14:textId="7D571210" w:rsidR="00355534" w:rsidRPr="004333CE" w:rsidRDefault="00355534" w:rsidP="00355534">
      <w:pPr>
        <w:tabs>
          <w:tab w:val="left" w:pos="375"/>
        </w:tabs>
        <w:rPr>
          <w:sz w:val="24"/>
          <w:szCs w:val="24"/>
          <w:lang w:val="cs-CZ"/>
        </w:rPr>
      </w:pPr>
    </w:p>
    <w:p w14:paraId="7A24C8A0" w14:textId="6B59126D" w:rsidR="00CA4A43" w:rsidRPr="004333CE" w:rsidRDefault="00D71654" w:rsidP="00651695">
      <w:pPr>
        <w:pStyle w:val="Nadpis1"/>
        <w:spacing w:before="240" w:after="240"/>
        <w:rPr>
          <w:rFonts w:ascii="Times New Roman" w:hAnsi="Times New Roman" w:cs="Times New Roman"/>
        </w:rPr>
      </w:pPr>
      <w:r w:rsidRPr="004333CE">
        <w:rPr>
          <w:rFonts w:ascii="Times New Roman" w:hAnsi="Times New Roman" w:cs="Times New Roman"/>
        </w:rPr>
        <w:t xml:space="preserve">Hlava </w:t>
      </w:r>
      <w:proofErr w:type="gramStart"/>
      <w:r w:rsidRPr="004333CE">
        <w:rPr>
          <w:rFonts w:ascii="Times New Roman" w:hAnsi="Times New Roman" w:cs="Times New Roman"/>
        </w:rPr>
        <w:t>V</w:t>
      </w:r>
      <w:r w:rsidR="00705D29" w:rsidRPr="004333CE">
        <w:rPr>
          <w:rFonts w:ascii="Times New Roman" w:hAnsi="Times New Roman" w:cs="Times New Roman"/>
        </w:rPr>
        <w:t xml:space="preserve"> - </w:t>
      </w:r>
      <w:r w:rsidR="00A80D0E">
        <w:rPr>
          <w:rFonts w:ascii="Times New Roman" w:hAnsi="Times New Roman" w:cs="Times New Roman"/>
        </w:rPr>
        <w:t>Závěrečná</w:t>
      </w:r>
      <w:proofErr w:type="gramEnd"/>
      <w:r w:rsidR="6F797ABA" w:rsidRPr="004333CE">
        <w:rPr>
          <w:rFonts w:ascii="Times New Roman" w:hAnsi="Times New Roman" w:cs="Times New Roman"/>
        </w:rPr>
        <w:t xml:space="preserve"> ustanovení</w:t>
      </w:r>
    </w:p>
    <w:p w14:paraId="7208C241" w14:textId="17DBFC10" w:rsidR="0038657B" w:rsidRPr="004333CE" w:rsidRDefault="00D71654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4333CE">
        <w:rPr>
          <w:b/>
          <w:sz w:val="24"/>
          <w:szCs w:val="24"/>
          <w:lang w:val="cs-CZ"/>
        </w:rPr>
        <w:t>Par. 5</w:t>
      </w:r>
      <w:r w:rsidR="00705D29" w:rsidRPr="004333CE">
        <w:rPr>
          <w:b/>
          <w:sz w:val="24"/>
          <w:szCs w:val="24"/>
          <w:lang w:val="cs-CZ"/>
        </w:rPr>
        <w:t>01. Účinnost.</w:t>
      </w:r>
    </w:p>
    <w:p w14:paraId="75EA4CC4" w14:textId="006F75C6" w:rsidR="00816969" w:rsidRPr="004333CE" w:rsidRDefault="00670CF8" w:rsidP="00D71654">
      <w:pPr>
        <w:spacing w:after="120" w:line="360" w:lineRule="auto"/>
        <w:jc w:val="both"/>
        <w:rPr>
          <w:sz w:val="24"/>
          <w:szCs w:val="24"/>
          <w:lang w:val="cs-CZ"/>
        </w:rPr>
      </w:pPr>
      <w:r w:rsidRPr="004333CE">
        <w:rPr>
          <w:sz w:val="24"/>
          <w:szCs w:val="24"/>
          <w:lang w:val="cs-CZ"/>
        </w:rPr>
        <w:t>Tento z</w:t>
      </w:r>
      <w:r w:rsidR="00A80D0E">
        <w:rPr>
          <w:sz w:val="24"/>
          <w:szCs w:val="24"/>
          <w:lang w:val="cs-CZ"/>
        </w:rPr>
        <w:t>ákon nabývá účinnosti 1. 1. 2020</w:t>
      </w:r>
      <w:r w:rsidRPr="004333CE">
        <w:rPr>
          <w:sz w:val="24"/>
          <w:szCs w:val="24"/>
          <w:lang w:val="cs-CZ"/>
        </w:rPr>
        <w:t xml:space="preserve">. </w:t>
      </w:r>
    </w:p>
    <w:sectPr w:rsidR="00816969" w:rsidRPr="004333CE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9EFB" w14:textId="77777777" w:rsidR="00CF1000" w:rsidRDefault="00CF1000" w:rsidP="00E14C9D">
      <w:pPr>
        <w:spacing w:after="0" w:line="240" w:lineRule="auto"/>
      </w:pPr>
      <w:r>
        <w:separator/>
      </w:r>
    </w:p>
  </w:endnote>
  <w:endnote w:type="continuationSeparator" w:id="0">
    <w:p w14:paraId="1933412B" w14:textId="77777777" w:rsidR="00CF1000" w:rsidRDefault="00CF1000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564118B4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A80D0E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vypracovali Aleš Kubíček a Jakub </w:t>
                          </w:r>
                          <w:proofErr w:type="spellStart"/>
                          <w:r w:rsidR="00A80D0E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Tabášek</w:t>
                          </w:r>
                          <w:proofErr w:type="spellEnd"/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295971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Qy7sgIAALkFAAAOAAAAZHJzL2Uyb0RvYy54bWysVG1vmzAQ/j5p/8Hyd8rLTAKopGpDmCZ1&#13;&#10;L1K7H+CACdbAZrYT0lX77zubJE1bTZq28cGyfefn7rl7uMurfd+hHVOaS5Hj8CLAiIlK1lxscvz1&#13;&#10;vvQSjLShoqadFCzHD0zjq8XbN5fjkLFItrKrmUIAInQ2DjlujRky39dVy3qqL+TABBgbqXpq4Kg2&#13;&#10;fq3oCOh950dBMPNHqepByYppDbfFZMQLh980rDKfm0Yzg7ocQ27Grcqta7v6i0uabRQdWl4d0qB/&#13;&#10;kUVPuYCgJ6iCGoq2ir+C6nmlpJaNuahk78um4RVzHIBNGLxgc9fSgTkuUBw9nMqk/x9s9Wn3RSFe&#13;&#10;Q+8wErSHFt2zvUE3co9CW51x0Bk43Q3gZvZwbT0tUz3cyuqbRkIuWyo27FopObaM1pCde+mfPZ1w&#13;&#10;tAVZjx9lDWHo1kgHtG9UbwGhGAjQoUsPp87YVCq4nMezKInBVIGNkPlsHtvkfJodXw9Km/dM9shu&#13;&#10;cqyg8w6d7m61mVyPLjaYkCXvOtf9Tjy7AMzpBmLDU2uzWbhmPqZBukpWCfFINFt5JCgK77pcEm9W&#13;&#10;hvO4eFcsl0X408YNSdbyumbChjkKKyR/1riDxCdJnKSlZcdrC2dT0mqzXnYK7SgIu3TfoSBnbv7z&#13;&#10;NFy9gMsLSmFEgpso9cpZMvdISWIvnQeJF4TpTToLSEqK8jmlWy7Yv1NCY47TOIonMf2WW+C+19xo&#13;&#10;1nMDo6PjfY6TkxPNrARXonatNZR30/6sFDb9p1JAu4+NdoK1Gp3UavbrPaBYFa9l/QDSVRKUBSKE&#13;&#10;eQebVqofGI0wO3Ksv2+pYhh1HwTIPw0JscPGHUg8j+Cgzi3rcwsVFUDl2GA0bZdmGlDbQfFNC5Gm&#13;&#10;H07Ia/hlGu7U/JQVULEHmA+O1GGW2QF0fnZeTxN38QsAAP//AwBQSwMEFAAGAAgAAAAhAN0CnBLi&#13;&#10;AAAAEQEAAA8AAABkcnMvZG93bnJldi54bWxMT01PwzAMvSPxHyIjcduSjWywrumEmLiCNj4kblnj&#13;&#10;tRWNUzXZWv493gku1rP8/D7yzehbccY+NoEMzKYKBFIZXEOVgfe358kDiJgsOdsGQgM/GGFTXF/l&#13;&#10;NnNhoB2e96kSLEIxswbqlLpMyljW6G2chg6Jb8fQe5t47SvpejuwuG/lXKml9LYhdqhth081lt/7&#13;&#10;kzfw8XL8+tTqtdr6RTeEUUnyK2nM7c24XfN4XINIOKa/D7h04PxQcLBDOJGLojUwmem7JXMZzTWD&#13;&#10;C0Xpew3iYEAvViCLXP5vUvwCAAD//wMAUEsBAi0AFAAGAAgAAAAhALaDOJL+AAAA4QEAABMAAAAA&#13;&#10;AAAAAAAAAAAAAAAAAFtDb250ZW50X1R5cGVzXS54bWxQSwECLQAUAAYACAAAACEAOP0h/9YAAACU&#13;&#10;AQAACwAAAAAAAAAAAAAAAAAvAQAAX3JlbHMvLnJlbHNQSwECLQAUAAYACAAAACEATx0Mu7ICAAC5&#13;&#10;BQAADgAAAAAAAAAAAAAAAAAuAgAAZHJzL2Uyb0RvYy54bWxQSwECLQAUAAYACAAAACEA3QKcEuIA&#13;&#10;AAARAQAADwAAAAAAAAAAAAAAAAAMBQAAZHJzL2Rvd25yZXYueG1sUEsFBgAAAAAEAAQA8wAAABsG&#13;&#10;AAAAAA==&#13;&#10;" filled="f" stroked="f">
              <v:textbox>
                <w:txbxContent>
                  <w:p w14:paraId="4BAD5B43" w14:textId="564118B4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A80D0E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vypracovali Aleš Kubíček a Jakub </w:t>
                    </w:r>
                    <w:proofErr w:type="spellStart"/>
                    <w:r w:rsidR="00A80D0E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Tabášek</w:t>
                    </w:r>
                    <w:proofErr w:type="spellEnd"/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295971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EEF9" w14:textId="77777777" w:rsidR="00CF1000" w:rsidRDefault="00CF1000" w:rsidP="00E14C9D">
      <w:pPr>
        <w:spacing w:after="0" w:line="240" w:lineRule="auto"/>
      </w:pPr>
      <w:r>
        <w:separator/>
      </w:r>
    </w:p>
  </w:footnote>
  <w:footnote w:type="continuationSeparator" w:id="0">
    <w:p w14:paraId="44D47B81" w14:textId="77777777" w:rsidR="00CF1000" w:rsidRDefault="00CF1000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FFD"/>
    <w:multiLevelType w:val="hybridMultilevel"/>
    <w:tmpl w:val="5C6E4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F1D"/>
    <w:multiLevelType w:val="hybridMultilevel"/>
    <w:tmpl w:val="9AAC420E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404"/>
    <w:multiLevelType w:val="hybridMultilevel"/>
    <w:tmpl w:val="E4DA0828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BD2"/>
    <w:multiLevelType w:val="multilevel"/>
    <w:tmpl w:val="FA04F8D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7" w15:restartNumberingAfterBreak="0">
    <w:nsid w:val="171D5D48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1A3380"/>
    <w:multiLevelType w:val="hybridMultilevel"/>
    <w:tmpl w:val="B19082B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02EE3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3897"/>
    <w:multiLevelType w:val="hybridMultilevel"/>
    <w:tmpl w:val="6890ED54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C7DEE"/>
    <w:multiLevelType w:val="multilevel"/>
    <w:tmpl w:val="A46E90D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3862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1A2A"/>
    <w:multiLevelType w:val="hybridMultilevel"/>
    <w:tmpl w:val="C8061764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17425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B2D0E"/>
    <w:multiLevelType w:val="hybridMultilevel"/>
    <w:tmpl w:val="B1B02A1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95B"/>
    <w:multiLevelType w:val="hybridMultilevel"/>
    <w:tmpl w:val="A46E90D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9EE5B1E">
      <w:start w:val="1"/>
      <w:numFmt w:val="upperLetter"/>
      <w:lvlText w:val="%2)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82D20AF"/>
    <w:multiLevelType w:val="hybridMultilevel"/>
    <w:tmpl w:val="0C2E82A0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14"/>
  </w:num>
  <w:num w:numId="5">
    <w:abstractNumId w:val="30"/>
  </w:num>
  <w:num w:numId="6">
    <w:abstractNumId w:val="11"/>
  </w:num>
  <w:num w:numId="7">
    <w:abstractNumId w:val="19"/>
  </w:num>
  <w:num w:numId="8">
    <w:abstractNumId w:val="33"/>
  </w:num>
  <w:num w:numId="9">
    <w:abstractNumId w:val="32"/>
  </w:num>
  <w:num w:numId="10">
    <w:abstractNumId w:val="21"/>
  </w:num>
  <w:num w:numId="11">
    <w:abstractNumId w:val="1"/>
  </w:num>
  <w:num w:numId="12">
    <w:abstractNumId w:val="35"/>
  </w:num>
  <w:num w:numId="13">
    <w:abstractNumId w:val="8"/>
  </w:num>
  <w:num w:numId="14">
    <w:abstractNumId w:val="9"/>
  </w:num>
  <w:num w:numId="15">
    <w:abstractNumId w:val="23"/>
  </w:num>
  <w:num w:numId="16">
    <w:abstractNumId w:val="24"/>
  </w:num>
  <w:num w:numId="17">
    <w:abstractNumId w:val="15"/>
  </w:num>
  <w:num w:numId="18">
    <w:abstractNumId w:val="6"/>
  </w:num>
  <w:num w:numId="19">
    <w:abstractNumId w:val="22"/>
  </w:num>
  <w:num w:numId="20">
    <w:abstractNumId w:val="18"/>
  </w:num>
  <w:num w:numId="21">
    <w:abstractNumId w:val="42"/>
  </w:num>
  <w:num w:numId="22">
    <w:abstractNumId w:val="29"/>
  </w:num>
  <w:num w:numId="23">
    <w:abstractNumId w:val="26"/>
  </w:num>
  <w:num w:numId="24">
    <w:abstractNumId w:val="40"/>
  </w:num>
  <w:num w:numId="25">
    <w:abstractNumId w:val="28"/>
  </w:num>
  <w:num w:numId="26">
    <w:abstractNumId w:val="12"/>
  </w:num>
  <w:num w:numId="27">
    <w:abstractNumId w:val="27"/>
  </w:num>
  <w:num w:numId="28">
    <w:abstractNumId w:val="43"/>
  </w:num>
  <w:num w:numId="29">
    <w:abstractNumId w:val="4"/>
  </w:num>
  <w:num w:numId="30">
    <w:abstractNumId w:val="31"/>
  </w:num>
  <w:num w:numId="31">
    <w:abstractNumId w:val="36"/>
  </w:num>
  <w:num w:numId="32">
    <w:abstractNumId w:val="37"/>
  </w:num>
  <w:num w:numId="33">
    <w:abstractNumId w:val="5"/>
  </w:num>
  <w:num w:numId="34">
    <w:abstractNumId w:val="0"/>
  </w:num>
  <w:num w:numId="35">
    <w:abstractNumId w:val="39"/>
  </w:num>
  <w:num w:numId="36">
    <w:abstractNumId w:val="17"/>
  </w:num>
  <w:num w:numId="37">
    <w:abstractNumId w:val="3"/>
  </w:num>
  <w:num w:numId="38">
    <w:abstractNumId w:val="2"/>
  </w:num>
  <w:num w:numId="39">
    <w:abstractNumId w:val="25"/>
  </w:num>
  <w:num w:numId="40">
    <w:abstractNumId w:val="7"/>
  </w:num>
  <w:num w:numId="41">
    <w:abstractNumId w:val="38"/>
  </w:num>
  <w:num w:numId="42">
    <w:abstractNumId w:val="13"/>
  </w:num>
  <w:num w:numId="43">
    <w:abstractNumId w:val="41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9D"/>
    <w:rsid w:val="00045B4D"/>
    <w:rsid w:val="00047B7E"/>
    <w:rsid w:val="00050369"/>
    <w:rsid w:val="000727D3"/>
    <w:rsid w:val="0008036F"/>
    <w:rsid w:val="00086807"/>
    <w:rsid w:val="00090937"/>
    <w:rsid w:val="00090F83"/>
    <w:rsid w:val="000A1D1B"/>
    <w:rsid w:val="000A2154"/>
    <w:rsid w:val="000A2B9D"/>
    <w:rsid w:val="000A394E"/>
    <w:rsid w:val="000A663C"/>
    <w:rsid w:val="000B2AF1"/>
    <w:rsid w:val="000B5568"/>
    <w:rsid w:val="000B6699"/>
    <w:rsid w:val="000C28AF"/>
    <w:rsid w:val="000C70E1"/>
    <w:rsid w:val="000C7581"/>
    <w:rsid w:val="000E2B92"/>
    <w:rsid w:val="000E5143"/>
    <w:rsid w:val="00122771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36B2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57549"/>
    <w:rsid w:val="00261737"/>
    <w:rsid w:val="00262BAA"/>
    <w:rsid w:val="00263378"/>
    <w:rsid w:val="0027696F"/>
    <w:rsid w:val="00280FA0"/>
    <w:rsid w:val="00284454"/>
    <w:rsid w:val="00292AB0"/>
    <w:rsid w:val="00294D79"/>
    <w:rsid w:val="00295971"/>
    <w:rsid w:val="002B1ABA"/>
    <w:rsid w:val="002B2130"/>
    <w:rsid w:val="002B4D65"/>
    <w:rsid w:val="002B6AD3"/>
    <w:rsid w:val="002C2A54"/>
    <w:rsid w:val="002D1C9D"/>
    <w:rsid w:val="002D5948"/>
    <w:rsid w:val="002E1130"/>
    <w:rsid w:val="002E5E96"/>
    <w:rsid w:val="002F4E94"/>
    <w:rsid w:val="002F69A8"/>
    <w:rsid w:val="00301A8F"/>
    <w:rsid w:val="003124E1"/>
    <w:rsid w:val="00332527"/>
    <w:rsid w:val="00337209"/>
    <w:rsid w:val="00347CF5"/>
    <w:rsid w:val="00351A7E"/>
    <w:rsid w:val="003548C2"/>
    <w:rsid w:val="00355534"/>
    <w:rsid w:val="00355D3D"/>
    <w:rsid w:val="0035741A"/>
    <w:rsid w:val="0036225B"/>
    <w:rsid w:val="003705C7"/>
    <w:rsid w:val="00370696"/>
    <w:rsid w:val="003819EA"/>
    <w:rsid w:val="00383BF3"/>
    <w:rsid w:val="0038657B"/>
    <w:rsid w:val="00392D51"/>
    <w:rsid w:val="003942E6"/>
    <w:rsid w:val="0039705D"/>
    <w:rsid w:val="003A166A"/>
    <w:rsid w:val="003A7812"/>
    <w:rsid w:val="003C022A"/>
    <w:rsid w:val="003C0346"/>
    <w:rsid w:val="003C6980"/>
    <w:rsid w:val="003C7E19"/>
    <w:rsid w:val="003D42A8"/>
    <w:rsid w:val="003D74ED"/>
    <w:rsid w:val="003E1752"/>
    <w:rsid w:val="003E2968"/>
    <w:rsid w:val="003E5F4F"/>
    <w:rsid w:val="003E7F85"/>
    <w:rsid w:val="003F1345"/>
    <w:rsid w:val="003F435B"/>
    <w:rsid w:val="003F51A6"/>
    <w:rsid w:val="003F7CEE"/>
    <w:rsid w:val="004012CA"/>
    <w:rsid w:val="004200B8"/>
    <w:rsid w:val="00420142"/>
    <w:rsid w:val="00422329"/>
    <w:rsid w:val="004333CE"/>
    <w:rsid w:val="00442DDD"/>
    <w:rsid w:val="00442F4E"/>
    <w:rsid w:val="00454B82"/>
    <w:rsid w:val="004643FB"/>
    <w:rsid w:val="004675FC"/>
    <w:rsid w:val="004713F2"/>
    <w:rsid w:val="00471934"/>
    <w:rsid w:val="0049162D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4C00"/>
    <w:rsid w:val="004F5300"/>
    <w:rsid w:val="004F6633"/>
    <w:rsid w:val="00503927"/>
    <w:rsid w:val="00504A65"/>
    <w:rsid w:val="00514328"/>
    <w:rsid w:val="00524B23"/>
    <w:rsid w:val="00533369"/>
    <w:rsid w:val="00536528"/>
    <w:rsid w:val="005368AB"/>
    <w:rsid w:val="00540322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8093B"/>
    <w:rsid w:val="00594CBF"/>
    <w:rsid w:val="00595C1B"/>
    <w:rsid w:val="005A13AF"/>
    <w:rsid w:val="005A2032"/>
    <w:rsid w:val="005A5CA7"/>
    <w:rsid w:val="005B259A"/>
    <w:rsid w:val="005E3299"/>
    <w:rsid w:val="006108CA"/>
    <w:rsid w:val="00613761"/>
    <w:rsid w:val="00616736"/>
    <w:rsid w:val="00617946"/>
    <w:rsid w:val="00641104"/>
    <w:rsid w:val="006457BF"/>
    <w:rsid w:val="00651695"/>
    <w:rsid w:val="00670CF8"/>
    <w:rsid w:val="0067306D"/>
    <w:rsid w:val="006755AC"/>
    <w:rsid w:val="006841A9"/>
    <w:rsid w:val="00697CE6"/>
    <w:rsid w:val="006A6429"/>
    <w:rsid w:val="006B5E08"/>
    <w:rsid w:val="006B72F3"/>
    <w:rsid w:val="006C16F4"/>
    <w:rsid w:val="006D7795"/>
    <w:rsid w:val="006F2CFE"/>
    <w:rsid w:val="006F4AF7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527D"/>
    <w:rsid w:val="00756148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34A7"/>
    <w:rsid w:val="007C3E90"/>
    <w:rsid w:val="007C542F"/>
    <w:rsid w:val="007C7F06"/>
    <w:rsid w:val="007D031D"/>
    <w:rsid w:val="007D0DB1"/>
    <w:rsid w:val="007D718F"/>
    <w:rsid w:val="007D7898"/>
    <w:rsid w:val="008079C2"/>
    <w:rsid w:val="008102EF"/>
    <w:rsid w:val="00816969"/>
    <w:rsid w:val="00835750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3E3B"/>
    <w:rsid w:val="008B53A8"/>
    <w:rsid w:val="008C1951"/>
    <w:rsid w:val="008C499E"/>
    <w:rsid w:val="008C67B8"/>
    <w:rsid w:val="008D6BC0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104E"/>
    <w:rsid w:val="009C476B"/>
    <w:rsid w:val="009D7776"/>
    <w:rsid w:val="009E4439"/>
    <w:rsid w:val="009E553E"/>
    <w:rsid w:val="009E5947"/>
    <w:rsid w:val="009E776E"/>
    <w:rsid w:val="00A03253"/>
    <w:rsid w:val="00A11211"/>
    <w:rsid w:val="00A11A8A"/>
    <w:rsid w:val="00A1365D"/>
    <w:rsid w:val="00A17BE1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366F"/>
    <w:rsid w:val="00A53CB7"/>
    <w:rsid w:val="00A54EFD"/>
    <w:rsid w:val="00A779B2"/>
    <w:rsid w:val="00A80D0E"/>
    <w:rsid w:val="00A846B3"/>
    <w:rsid w:val="00A9330F"/>
    <w:rsid w:val="00AA5381"/>
    <w:rsid w:val="00AB3571"/>
    <w:rsid w:val="00AC29AD"/>
    <w:rsid w:val="00AD0CF5"/>
    <w:rsid w:val="00AD26FD"/>
    <w:rsid w:val="00AD2810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634C"/>
    <w:rsid w:val="00B95E82"/>
    <w:rsid w:val="00BA1701"/>
    <w:rsid w:val="00BA7EC7"/>
    <w:rsid w:val="00BB3D7C"/>
    <w:rsid w:val="00BB66F8"/>
    <w:rsid w:val="00BB6733"/>
    <w:rsid w:val="00BC7361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2CB1"/>
    <w:rsid w:val="00CF1000"/>
    <w:rsid w:val="00CF188C"/>
    <w:rsid w:val="00D01918"/>
    <w:rsid w:val="00D061A2"/>
    <w:rsid w:val="00D0761F"/>
    <w:rsid w:val="00D133DC"/>
    <w:rsid w:val="00D22E43"/>
    <w:rsid w:val="00D245DF"/>
    <w:rsid w:val="00D30F39"/>
    <w:rsid w:val="00D34A73"/>
    <w:rsid w:val="00D35CD6"/>
    <w:rsid w:val="00D41361"/>
    <w:rsid w:val="00D44148"/>
    <w:rsid w:val="00D657F3"/>
    <w:rsid w:val="00D71654"/>
    <w:rsid w:val="00D77F0A"/>
    <w:rsid w:val="00D77FCC"/>
    <w:rsid w:val="00D82D95"/>
    <w:rsid w:val="00D83ACF"/>
    <w:rsid w:val="00D85B3B"/>
    <w:rsid w:val="00D860DE"/>
    <w:rsid w:val="00DA0405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14C9D"/>
    <w:rsid w:val="00E21DFC"/>
    <w:rsid w:val="00E3374A"/>
    <w:rsid w:val="00E439F1"/>
    <w:rsid w:val="00E43B0F"/>
    <w:rsid w:val="00E56E03"/>
    <w:rsid w:val="00E603CD"/>
    <w:rsid w:val="00E67010"/>
    <w:rsid w:val="00E75DEC"/>
    <w:rsid w:val="00E76756"/>
    <w:rsid w:val="00E8268F"/>
    <w:rsid w:val="00E82D16"/>
    <w:rsid w:val="00E867FB"/>
    <w:rsid w:val="00E919FF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D27D8"/>
    <w:rsid w:val="00EE521F"/>
    <w:rsid w:val="00EE7987"/>
    <w:rsid w:val="00EF2C28"/>
    <w:rsid w:val="00F366C0"/>
    <w:rsid w:val="00F36D19"/>
    <w:rsid w:val="00F37434"/>
    <w:rsid w:val="00F4225A"/>
    <w:rsid w:val="00F450CB"/>
    <w:rsid w:val="00F52752"/>
    <w:rsid w:val="00F70F07"/>
    <w:rsid w:val="00F7218A"/>
    <w:rsid w:val="00F73EC6"/>
    <w:rsid w:val="00F805CD"/>
    <w:rsid w:val="00F86F4E"/>
    <w:rsid w:val="00F93FD9"/>
    <w:rsid w:val="00FA0FE5"/>
    <w:rsid w:val="00FA1905"/>
    <w:rsid w:val="00FA3005"/>
    <w:rsid w:val="00FA40DF"/>
    <w:rsid w:val="00FA6D0B"/>
    <w:rsid w:val="00FA6E12"/>
    <w:rsid w:val="00FB51A4"/>
    <w:rsid w:val="00FC386A"/>
    <w:rsid w:val="00FD28B5"/>
    <w:rsid w:val="00FD36CE"/>
    <w:rsid w:val="00FD3F8E"/>
    <w:rsid w:val="00FD4411"/>
    <w:rsid w:val="00FD6335"/>
    <w:rsid w:val="00FE2414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PodnadpisChar">
    <w:name w:val="Podnadpis Char"/>
    <w:link w:val="Podnadpis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FB6EB-BF05-48B7-B8C9-5E1FEB3629FD}"/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9F245-9B67-9343-9BF8-215AA98F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Aleš Kubíček</cp:lastModifiedBy>
  <cp:revision>24</cp:revision>
  <dcterms:created xsi:type="dcterms:W3CDTF">2018-02-16T17:56:00Z</dcterms:created>
  <dcterms:modified xsi:type="dcterms:W3CDTF">2018-02-17T21:24:00Z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