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6225B" w:rsidRPr="00061634" w14:paraId="1423725A" w14:textId="77777777" w:rsidTr="007940BF">
        <w:tc>
          <w:tcPr>
            <w:tcW w:w="4530" w:type="dxa"/>
          </w:tcPr>
          <w:p w14:paraId="2B0D180E" w14:textId="06632D9F" w:rsidR="0036225B" w:rsidRPr="00AE47A7" w:rsidRDefault="00670CF8" w:rsidP="00670CF8">
            <w:pPr>
              <w:spacing w:after="120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24"/>
                <w:szCs w:val="24"/>
                <w:lang w:val="cs-CZ"/>
              </w:rPr>
              <w:t>S</w:t>
            </w:r>
            <w:r w:rsidR="0036225B" w:rsidRPr="00AE47A7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. </w:t>
            </w:r>
            <w:r w:rsidR="00CA3D06">
              <w:rPr>
                <w:rFonts w:eastAsia="Tahoma"/>
                <w:b/>
                <w:iCs/>
                <w:sz w:val="24"/>
                <w:szCs w:val="24"/>
                <w:lang w:val="cs-CZ"/>
              </w:rPr>
              <w:t>400</w:t>
            </w:r>
          </w:p>
        </w:tc>
        <w:tc>
          <w:tcPr>
            <w:tcW w:w="4530" w:type="dxa"/>
          </w:tcPr>
          <w:p w14:paraId="10331E70" w14:textId="418FA3F3" w:rsidR="0036225B" w:rsidRPr="00061634" w:rsidRDefault="00061634" w:rsidP="00061634">
            <w:pPr>
              <w:tabs>
                <w:tab w:val="left" w:pos="900"/>
              </w:tabs>
              <w:spacing w:after="120"/>
              <w:jc w:val="right"/>
              <w:rPr>
                <w:rFonts w:eastAsia="Tahoma"/>
                <w:iCs/>
                <w:sz w:val="32"/>
                <w:szCs w:val="24"/>
                <w:lang w:val="cs-CZ"/>
              </w:rPr>
            </w:pPr>
            <w:r w:rsidRPr="00061634">
              <w:rPr>
                <w:rFonts w:eastAsia="Tahoma"/>
                <w:iCs/>
                <w:sz w:val="24"/>
                <w:szCs w:val="24"/>
                <w:lang w:val="cs-CZ"/>
              </w:rPr>
              <w:t>Plénum Senátu</w:t>
            </w:r>
          </w:p>
        </w:tc>
      </w:tr>
      <w:tr w:rsidR="0036225B" w:rsidRPr="00AE47A7" w14:paraId="24EBB17F" w14:textId="77777777" w:rsidTr="00AD4F56">
        <w:tc>
          <w:tcPr>
            <w:tcW w:w="9060" w:type="dxa"/>
            <w:gridSpan w:val="2"/>
          </w:tcPr>
          <w:p w14:paraId="7882F91D" w14:textId="27751A34" w:rsidR="003E5F4F" w:rsidRDefault="00FF6D69" w:rsidP="003E5F4F">
            <w:pPr>
              <w:spacing w:after="0"/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32"/>
                <w:szCs w:val="24"/>
                <w:lang w:val="cs-CZ"/>
              </w:rPr>
              <w:t>Česk</w:t>
            </w:r>
            <w:r w:rsidR="00CE2CB1">
              <w:rPr>
                <w:rFonts w:eastAsia="Tahoma"/>
                <w:b/>
                <w:iCs/>
                <w:sz w:val="32"/>
                <w:szCs w:val="24"/>
                <w:lang w:val="cs-CZ"/>
              </w:rPr>
              <w:t>ý model amerického kongresu 2018</w:t>
            </w:r>
          </w:p>
          <w:p w14:paraId="76F1E83A" w14:textId="4F2FB55A" w:rsidR="0036225B" w:rsidRPr="00AE47A7" w:rsidRDefault="00FF6D69" w:rsidP="0036225B">
            <w:pPr>
              <w:spacing w:after="0"/>
              <w:jc w:val="center"/>
              <w:rPr>
                <w:rFonts w:eastAsia="Tahoma"/>
                <w:iCs/>
                <w:szCs w:val="24"/>
                <w:lang w:val="cs-CZ"/>
              </w:rPr>
            </w:pPr>
            <w:r>
              <w:rPr>
                <w:rFonts w:eastAsia="Tahoma"/>
                <w:iCs/>
                <w:szCs w:val="24"/>
                <w:lang w:val="cs-CZ"/>
              </w:rPr>
              <w:t>zahájen a konán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městě </w:t>
            </w:r>
            <w:r>
              <w:rPr>
                <w:rFonts w:eastAsia="Tahoma"/>
                <w:iCs/>
                <w:szCs w:val="24"/>
                <w:lang w:val="cs-CZ"/>
              </w:rPr>
              <w:t>Plzeň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</w:t>
            </w:r>
            <w:r>
              <w:rPr>
                <w:rFonts w:eastAsia="Tahoma"/>
                <w:iCs/>
                <w:szCs w:val="24"/>
                <w:lang w:val="cs-CZ"/>
              </w:rPr>
              <w:t>neděli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>,</w:t>
            </w:r>
          </w:p>
          <w:p w14:paraId="0929D561" w14:textId="442C918B" w:rsidR="0036225B" w:rsidRPr="00AE47A7" w:rsidRDefault="0036225B" w:rsidP="00670CF8">
            <w:pPr>
              <w:spacing w:after="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AE47A7">
              <w:rPr>
                <w:rFonts w:eastAsia="Tahoma"/>
                <w:iCs/>
                <w:szCs w:val="24"/>
                <w:lang w:val="cs-CZ"/>
              </w:rPr>
              <w:t xml:space="preserve"> </w:t>
            </w:r>
            <w:r w:rsidR="00670CF8">
              <w:rPr>
                <w:rFonts w:eastAsia="Tahoma"/>
                <w:iCs/>
                <w:szCs w:val="24"/>
                <w:lang w:val="cs-CZ"/>
              </w:rPr>
              <w:t>devátého</w:t>
            </w:r>
            <w:r w:rsidR="00FF6D69">
              <w:rPr>
                <w:rFonts w:eastAsia="Tahoma"/>
                <w:iCs/>
                <w:szCs w:val="24"/>
                <w:lang w:val="cs-CZ"/>
              </w:rPr>
              <w:t xml:space="preserve"> září</w:t>
            </w:r>
            <w:r w:rsidRPr="00AE47A7">
              <w:rPr>
                <w:rFonts w:eastAsia="Tahoma"/>
                <w:iCs/>
                <w:szCs w:val="24"/>
                <w:lang w:val="cs-CZ"/>
              </w:rPr>
              <w:t xml:space="preserve"> roku dvoutisícího </w:t>
            </w:r>
            <w:r w:rsidR="00670CF8">
              <w:rPr>
                <w:rFonts w:eastAsia="Tahoma"/>
                <w:iCs/>
                <w:szCs w:val="24"/>
                <w:lang w:val="cs-CZ"/>
              </w:rPr>
              <w:t>osmnáctého</w:t>
            </w:r>
          </w:p>
        </w:tc>
      </w:tr>
      <w:tr w:rsidR="0036225B" w:rsidRPr="00AE47A7" w14:paraId="020EA662" w14:textId="77777777" w:rsidTr="00AD4F56">
        <w:tc>
          <w:tcPr>
            <w:tcW w:w="9060" w:type="dxa"/>
            <w:gridSpan w:val="2"/>
          </w:tcPr>
          <w:p w14:paraId="31B87D73" w14:textId="77777777" w:rsidR="0036225B" w:rsidRPr="00AE47A7" w:rsidRDefault="0036225B" w:rsidP="0036225B">
            <w:pPr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AE47A7">
              <w:rPr>
                <w:rFonts w:eastAsia="Tahoma"/>
                <w:b/>
                <w:iCs/>
                <w:sz w:val="32"/>
                <w:szCs w:val="24"/>
                <w:lang w:val="cs-CZ"/>
              </w:rPr>
              <w:t>ZÁKON</w:t>
            </w:r>
          </w:p>
          <w:p w14:paraId="3AA5B49C" w14:textId="25704AC1" w:rsidR="0036225B" w:rsidRPr="003C7E19" w:rsidRDefault="003C7E19" w:rsidP="00383BF3">
            <w:pPr>
              <w:jc w:val="center"/>
              <w:rPr>
                <w:rFonts w:eastAsia="Tahoma"/>
                <w:b/>
                <w:iCs/>
                <w:sz w:val="24"/>
                <w:szCs w:val="24"/>
                <w:lang w:val="cs-CZ"/>
              </w:rPr>
            </w:pPr>
            <w:r w:rsidRPr="003C7E19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 O </w:t>
            </w:r>
            <w:r w:rsidR="00A230C5">
              <w:rPr>
                <w:rFonts w:eastAsia="Tahoma"/>
                <w:b/>
                <w:iCs/>
                <w:sz w:val="24"/>
                <w:szCs w:val="24"/>
                <w:lang w:val="cs-CZ"/>
              </w:rPr>
              <w:t>důstojném ukončení života</w:t>
            </w:r>
          </w:p>
        </w:tc>
      </w:tr>
      <w:tr w:rsidR="0036225B" w:rsidRPr="004333CE" w14:paraId="630FEA9C" w14:textId="77777777" w:rsidTr="00AD4F56">
        <w:tc>
          <w:tcPr>
            <w:tcW w:w="9060" w:type="dxa"/>
            <w:gridSpan w:val="2"/>
          </w:tcPr>
          <w:p w14:paraId="459793DA" w14:textId="40FD9A0A" w:rsidR="0036225B" w:rsidRPr="004333CE" w:rsidRDefault="0036225B" w:rsidP="00383BF3">
            <w:pPr>
              <w:spacing w:before="24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>Sená</w:t>
            </w:r>
            <w:r w:rsidR="00383BF3"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t a Sněmovna reprezentantů </w:t>
            </w: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Spojených států amerických </w:t>
            </w:r>
            <w:r w:rsidR="00383BF3"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se v Kongresu </w:t>
            </w: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>usnesly na tomto zákonu:</w:t>
            </w:r>
          </w:p>
        </w:tc>
      </w:tr>
    </w:tbl>
    <w:p w14:paraId="504B7A6B" w14:textId="3C426C8A" w:rsidR="00FA40DF" w:rsidRPr="004333CE" w:rsidRDefault="00705D29" w:rsidP="00651695">
      <w:pPr>
        <w:spacing w:before="240" w:after="240" w:line="360" w:lineRule="auto"/>
        <w:jc w:val="center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Hlava I – Úvodní ustanovení</w:t>
      </w:r>
    </w:p>
    <w:p w14:paraId="006AFA06" w14:textId="29B37190" w:rsidR="00705D29" w:rsidRPr="004333CE" w:rsidRDefault="00705D29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Par. 101. Definice.</w:t>
      </w:r>
    </w:p>
    <w:p w14:paraId="6418674B" w14:textId="2A8B5CB2" w:rsidR="00705D29" w:rsidRPr="004333CE" w:rsidRDefault="00705D29" w:rsidP="00651695">
      <w:pPr>
        <w:spacing w:after="120" w:line="360" w:lineRule="auto"/>
        <w:jc w:val="both"/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>V tomto zákoně:</w:t>
      </w:r>
    </w:p>
    <w:p w14:paraId="76CD1DED" w14:textId="6ED5955C" w:rsidR="00E3374A" w:rsidRDefault="002256A0" w:rsidP="00E75DEC">
      <w:pPr>
        <w:pStyle w:val="ListParagraph"/>
        <w:numPr>
          <w:ilvl w:val="0"/>
          <w:numId w:val="26"/>
        </w:numPr>
        <w:spacing w:after="120" w:line="360" w:lineRule="auto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>UKONČENÍ ŽIVOTA</w:t>
      </w:r>
      <w:r w:rsidR="00FA3005" w:rsidRPr="004333CE">
        <w:rPr>
          <w:rFonts w:eastAsia="Tahoma"/>
          <w:sz w:val="24"/>
          <w:szCs w:val="24"/>
          <w:lang w:val="cs-CZ"/>
        </w:rPr>
        <w:t xml:space="preserve">. </w:t>
      </w:r>
      <w:r w:rsidR="00705D29" w:rsidRPr="004333CE">
        <w:rPr>
          <w:rFonts w:eastAsia="Tahoma"/>
          <w:sz w:val="24"/>
          <w:szCs w:val="24"/>
          <w:lang w:val="cs-CZ"/>
        </w:rPr>
        <w:t>–</w:t>
      </w:r>
      <w:r w:rsidR="00265C82">
        <w:rPr>
          <w:rFonts w:eastAsia="Tahoma"/>
          <w:sz w:val="24"/>
          <w:szCs w:val="24"/>
          <w:lang w:val="cs-CZ"/>
        </w:rPr>
        <w:t xml:space="preserve"> U</w:t>
      </w:r>
      <w:r>
        <w:rPr>
          <w:rFonts w:eastAsia="Tahoma"/>
          <w:sz w:val="24"/>
          <w:szCs w:val="24"/>
          <w:lang w:val="cs-CZ"/>
        </w:rPr>
        <w:t>končením života se pro účely tohoto zákona rozumí ukončení života pacienta na jeho vlastní žádost s odbornou pomocí lékaře</w:t>
      </w:r>
      <w:r w:rsidR="00DA0405" w:rsidRPr="00DA0405">
        <w:rPr>
          <w:rFonts w:eastAsia="Tahoma"/>
          <w:sz w:val="24"/>
          <w:szCs w:val="24"/>
          <w:lang w:val="cs-CZ"/>
        </w:rPr>
        <w:t>.</w:t>
      </w:r>
    </w:p>
    <w:p w14:paraId="0772F128" w14:textId="4B733F5A" w:rsidR="007F71F8" w:rsidRDefault="007F71F8" w:rsidP="00E75DEC">
      <w:pPr>
        <w:pStyle w:val="ListParagraph"/>
        <w:numPr>
          <w:ilvl w:val="0"/>
          <w:numId w:val="26"/>
        </w:numPr>
        <w:spacing w:after="120" w:line="360" w:lineRule="auto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>ŽÁDOST</w:t>
      </w:r>
      <w:r w:rsidR="00E836CA">
        <w:rPr>
          <w:rFonts w:eastAsia="Tahoma"/>
          <w:sz w:val="24"/>
          <w:szCs w:val="24"/>
          <w:lang w:val="cs-CZ"/>
        </w:rPr>
        <w:t>.</w:t>
      </w:r>
      <w:r>
        <w:rPr>
          <w:rFonts w:eastAsia="Tahoma"/>
          <w:sz w:val="24"/>
          <w:szCs w:val="24"/>
          <w:lang w:val="cs-CZ"/>
        </w:rPr>
        <w:t xml:space="preserve"> – Žádostí se pro účely tohoto zákona rozumí žádost o důstojné ukončení života.</w:t>
      </w:r>
    </w:p>
    <w:p w14:paraId="02CECDE9" w14:textId="120ED4AE" w:rsidR="00E836CA" w:rsidRDefault="00E836CA" w:rsidP="00E75DEC">
      <w:pPr>
        <w:pStyle w:val="ListParagraph"/>
        <w:numPr>
          <w:ilvl w:val="0"/>
          <w:numId w:val="26"/>
        </w:numPr>
        <w:spacing w:after="120" w:line="360" w:lineRule="auto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>KOMISE. – Komisí se pro ú</w:t>
      </w:r>
      <w:r w:rsidR="004F65A8">
        <w:rPr>
          <w:rFonts w:eastAsia="Tahoma"/>
          <w:sz w:val="24"/>
          <w:szCs w:val="24"/>
          <w:lang w:val="cs-CZ"/>
        </w:rPr>
        <w:t>čely tohoto zákona rozumí K</w:t>
      </w:r>
      <w:r>
        <w:rPr>
          <w:rFonts w:eastAsia="Tahoma"/>
          <w:sz w:val="24"/>
          <w:szCs w:val="24"/>
          <w:lang w:val="cs-CZ"/>
        </w:rPr>
        <w:t xml:space="preserve">omise, která je složená z pěti lékařů </w:t>
      </w:r>
      <w:r w:rsidR="004F65A8">
        <w:rPr>
          <w:rFonts w:eastAsia="Tahoma"/>
          <w:sz w:val="24"/>
          <w:szCs w:val="24"/>
          <w:lang w:val="cs-CZ"/>
        </w:rPr>
        <w:t>a která posuzuje žádost</w:t>
      </w:r>
      <w:r>
        <w:rPr>
          <w:rFonts w:eastAsia="Tahoma"/>
          <w:sz w:val="24"/>
          <w:szCs w:val="24"/>
          <w:lang w:val="cs-CZ"/>
        </w:rPr>
        <w:t xml:space="preserve"> pacienta. </w:t>
      </w:r>
    </w:p>
    <w:p w14:paraId="5574F3C3" w14:textId="4576BA16" w:rsidR="00FE6DF6" w:rsidRPr="004333CE" w:rsidRDefault="00FE6DF6" w:rsidP="00E75DEC">
      <w:pPr>
        <w:pStyle w:val="ListParagraph"/>
        <w:numPr>
          <w:ilvl w:val="0"/>
          <w:numId w:val="26"/>
        </w:numPr>
        <w:spacing w:after="120" w:line="360" w:lineRule="auto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 xml:space="preserve">EUTANÁZIE. – Eutanázií se pro účely tohoto zákona rozumí úmyslné ukončení života pacienta na jeho vlastní žádost jinou osobou – lékařem, pokud mu jeho zdravotní stav neumožňuje vykonat ukončení života s odbornou pomocí lékaře. </w:t>
      </w:r>
    </w:p>
    <w:p w14:paraId="660E825E" w14:textId="77777777" w:rsidR="000C70E1" w:rsidRDefault="000C70E1" w:rsidP="00651695">
      <w:pPr>
        <w:spacing w:before="240" w:after="240"/>
        <w:ind w:firstLine="709"/>
        <w:jc w:val="center"/>
        <w:rPr>
          <w:b/>
          <w:sz w:val="24"/>
          <w:szCs w:val="24"/>
          <w:lang w:val="cs-CZ"/>
        </w:rPr>
      </w:pPr>
    </w:p>
    <w:p w14:paraId="638C537D" w14:textId="1CC7D29C" w:rsidR="00765B51" w:rsidRPr="004333CE" w:rsidRDefault="00765B51" w:rsidP="00651695">
      <w:pPr>
        <w:spacing w:before="240" w:after="240"/>
        <w:ind w:firstLine="709"/>
        <w:jc w:val="center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Hlava II –</w:t>
      </w:r>
      <w:r w:rsidR="00B365D3" w:rsidRPr="004333CE">
        <w:rPr>
          <w:b/>
          <w:sz w:val="24"/>
          <w:szCs w:val="24"/>
          <w:lang w:val="cs-CZ"/>
        </w:rPr>
        <w:t xml:space="preserve"> </w:t>
      </w:r>
      <w:r w:rsidR="00E836CA">
        <w:rPr>
          <w:b/>
          <w:sz w:val="24"/>
          <w:szCs w:val="24"/>
          <w:lang w:val="cs-CZ"/>
        </w:rPr>
        <w:t>Žádost</w:t>
      </w:r>
    </w:p>
    <w:p w14:paraId="46B4E308" w14:textId="51FA0259" w:rsidR="00765B51" w:rsidRPr="004333CE" w:rsidRDefault="002256A0" w:rsidP="00263378">
      <w:pPr>
        <w:spacing w:after="12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201</w:t>
      </w:r>
      <w:r w:rsidR="005E3299" w:rsidRPr="004333CE">
        <w:rPr>
          <w:b/>
          <w:sz w:val="24"/>
          <w:szCs w:val="24"/>
          <w:lang w:val="cs-CZ"/>
        </w:rPr>
        <w:t xml:space="preserve">. </w:t>
      </w:r>
      <w:r w:rsidR="00FF20A9">
        <w:rPr>
          <w:b/>
          <w:sz w:val="24"/>
          <w:szCs w:val="24"/>
          <w:lang w:val="cs-CZ"/>
        </w:rPr>
        <w:t>Podmínky podání žádosti</w:t>
      </w:r>
      <w:r w:rsidR="000C0C09">
        <w:rPr>
          <w:b/>
          <w:sz w:val="24"/>
          <w:szCs w:val="24"/>
          <w:lang w:val="cs-CZ"/>
        </w:rPr>
        <w:t>.</w:t>
      </w:r>
    </w:p>
    <w:p w14:paraId="50ED2A64" w14:textId="0D22C33B" w:rsidR="002256A0" w:rsidRPr="000C0C09" w:rsidRDefault="002256A0" w:rsidP="006F4AF7">
      <w:pPr>
        <w:pStyle w:val="ListParagraph"/>
        <w:numPr>
          <w:ilvl w:val="0"/>
          <w:numId w:val="35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 xml:space="preserve">Pacient může podat žádost o </w:t>
      </w:r>
      <w:r w:rsidR="00265C82">
        <w:rPr>
          <w:rFonts w:eastAsia="Tahoma"/>
          <w:sz w:val="24"/>
          <w:szCs w:val="24"/>
          <w:lang w:val="cs-CZ"/>
        </w:rPr>
        <w:t xml:space="preserve">důstojné </w:t>
      </w:r>
      <w:r>
        <w:rPr>
          <w:rFonts w:eastAsia="Tahoma"/>
          <w:sz w:val="24"/>
          <w:szCs w:val="24"/>
          <w:lang w:val="cs-CZ"/>
        </w:rPr>
        <w:t>ukončení života</w:t>
      </w:r>
      <w:r w:rsidR="000C0C09">
        <w:rPr>
          <w:rFonts w:eastAsia="Tahoma"/>
          <w:sz w:val="24"/>
          <w:szCs w:val="24"/>
          <w:lang w:val="cs-CZ"/>
        </w:rPr>
        <w:t>,</w:t>
      </w:r>
      <w:r>
        <w:rPr>
          <w:rFonts w:eastAsia="Tahoma"/>
          <w:sz w:val="24"/>
          <w:szCs w:val="24"/>
          <w:lang w:val="cs-CZ"/>
        </w:rPr>
        <w:t xml:space="preserve"> pouze </w:t>
      </w:r>
      <w:r w:rsidR="000C0C09">
        <w:rPr>
          <w:rFonts w:eastAsia="Tahoma"/>
          <w:sz w:val="24"/>
          <w:szCs w:val="24"/>
          <w:lang w:val="cs-CZ"/>
        </w:rPr>
        <w:t>jsou-li naplněny následující podmínky</w:t>
      </w:r>
      <w:r>
        <w:rPr>
          <w:rFonts w:eastAsia="Tahoma"/>
          <w:sz w:val="24"/>
          <w:szCs w:val="24"/>
          <w:lang w:val="cs-CZ"/>
        </w:rPr>
        <w:t>:</w:t>
      </w:r>
    </w:p>
    <w:p w14:paraId="68D6614B" w14:textId="2D12CF4B" w:rsidR="000C0C09" w:rsidRPr="000C0C09" w:rsidRDefault="000C0C09" w:rsidP="000C0C09">
      <w:pPr>
        <w:pStyle w:val="ListParagraph"/>
        <w:numPr>
          <w:ilvl w:val="1"/>
          <w:numId w:val="35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lastRenderedPageBreak/>
        <w:t>Pacient trpí nevyléčitelnou nemocí, která mu přináší zvláště těžké fyzické či psychické utrpení;</w:t>
      </w:r>
    </w:p>
    <w:p w14:paraId="20D6387B" w14:textId="4C0ED360" w:rsidR="00E836CA" w:rsidRPr="00E836CA" w:rsidRDefault="000C0C09" w:rsidP="000A394E">
      <w:pPr>
        <w:pStyle w:val="ListParagraph"/>
        <w:numPr>
          <w:ilvl w:val="1"/>
          <w:numId w:val="35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>Pacient je</w:t>
      </w:r>
      <w:r w:rsidR="00E836CA">
        <w:rPr>
          <w:rFonts w:eastAsia="Tahoma"/>
          <w:sz w:val="24"/>
          <w:szCs w:val="24"/>
          <w:lang w:val="cs-CZ"/>
        </w:rPr>
        <w:t xml:space="preserve"> v době vyhotovení žádosti</w:t>
      </w:r>
      <w:r>
        <w:rPr>
          <w:rFonts w:eastAsia="Tahoma"/>
          <w:sz w:val="24"/>
          <w:szCs w:val="24"/>
          <w:lang w:val="cs-CZ"/>
        </w:rPr>
        <w:t xml:space="preserve"> při plném vědomí a plně způsobilý k právním úkonům. </w:t>
      </w:r>
    </w:p>
    <w:p w14:paraId="79EAEB01" w14:textId="7F9F6442" w:rsidR="006F4AF7" w:rsidRPr="00392D51" w:rsidRDefault="006F4AF7" w:rsidP="000A394E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392D51">
        <w:rPr>
          <w:b/>
          <w:sz w:val="24"/>
          <w:szCs w:val="24"/>
          <w:lang w:val="cs-CZ"/>
        </w:rPr>
        <w:t xml:space="preserve">Par. 202. </w:t>
      </w:r>
      <w:r w:rsidR="00FF20A9">
        <w:rPr>
          <w:b/>
          <w:sz w:val="24"/>
          <w:szCs w:val="24"/>
          <w:lang w:val="cs-CZ"/>
        </w:rPr>
        <w:t>Náležitosti žádosti</w:t>
      </w:r>
      <w:r w:rsidR="00F70F07">
        <w:rPr>
          <w:b/>
          <w:sz w:val="24"/>
          <w:szCs w:val="24"/>
          <w:lang w:val="cs-CZ"/>
        </w:rPr>
        <w:t>.</w:t>
      </w:r>
    </w:p>
    <w:p w14:paraId="0578FD4F" w14:textId="77777777" w:rsidR="00FF20A9" w:rsidRPr="007F71F8" w:rsidRDefault="00FF20A9" w:rsidP="00FF20A9">
      <w:pPr>
        <w:pStyle w:val="ListParagraph"/>
        <w:numPr>
          <w:ilvl w:val="0"/>
          <w:numId w:val="46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Žádost musí být:</w:t>
      </w:r>
    </w:p>
    <w:p w14:paraId="79F0AF21" w14:textId="34E148DE" w:rsidR="00FF20A9" w:rsidRPr="00BD257C" w:rsidRDefault="00FF20A9" w:rsidP="00BD257C">
      <w:pPr>
        <w:pStyle w:val="ListParagraph"/>
        <w:numPr>
          <w:ilvl w:val="1"/>
          <w:numId w:val="46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sepsána písemně</w:t>
      </w:r>
      <w:r w:rsidR="00BD257C">
        <w:rPr>
          <w:sz w:val="24"/>
          <w:szCs w:val="24"/>
          <w:lang w:val="cs-CZ"/>
        </w:rPr>
        <w:t xml:space="preserve"> a vlastnoručně podepsána pacientem</w:t>
      </w:r>
      <w:r w:rsidRPr="00BD257C">
        <w:rPr>
          <w:sz w:val="24"/>
          <w:szCs w:val="24"/>
          <w:lang w:val="cs-CZ"/>
        </w:rPr>
        <w:t>;</w:t>
      </w:r>
    </w:p>
    <w:p w14:paraId="217B6F8A" w14:textId="1391FB79" w:rsidR="00FF20A9" w:rsidRPr="00083398" w:rsidRDefault="00FF20A9" w:rsidP="00FF20A9">
      <w:pPr>
        <w:pStyle w:val="ListParagraph"/>
        <w:numPr>
          <w:ilvl w:val="1"/>
          <w:numId w:val="46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úředně ověřena.</w:t>
      </w:r>
    </w:p>
    <w:p w14:paraId="62691717" w14:textId="693883EB" w:rsidR="00083398" w:rsidRPr="000C0C09" w:rsidRDefault="00083398" w:rsidP="00083398">
      <w:pPr>
        <w:pStyle w:val="ListParagraph"/>
        <w:numPr>
          <w:ilvl w:val="0"/>
          <w:numId w:val="46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případě, že pacient nemůže číst nebo psát, nebo je nevidomý, musí být žádost vyhotovena za přítomnosti alespoň tří </w:t>
      </w:r>
      <w:r w:rsidR="00650215">
        <w:rPr>
          <w:sz w:val="24"/>
          <w:szCs w:val="24"/>
          <w:lang w:val="cs-CZ"/>
        </w:rPr>
        <w:t xml:space="preserve">plnoletých </w:t>
      </w:r>
      <w:r>
        <w:rPr>
          <w:sz w:val="24"/>
          <w:szCs w:val="24"/>
          <w:lang w:val="cs-CZ"/>
        </w:rPr>
        <w:t xml:space="preserve">svědků, kteří ji vlastnoručně podepíší. Taková žádost musí být přečtena nahlas před pacientem, který musí výslovně potvrdit, že žádá o důstojné ukončení </w:t>
      </w:r>
      <w:r w:rsidR="00265C82">
        <w:rPr>
          <w:sz w:val="24"/>
          <w:szCs w:val="24"/>
          <w:lang w:val="cs-CZ"/>
        </w:rPr>
        <w:t>života</w:t>
      </w:r>
      <w:r>
        <w:rPr>
          <w:sz w:val="24"/>
          <w:szCs w:val="24"/>
          <w:lang w:val="cs-CZ"/>
        </w:rPr>
        <w:t>.</w:t>
      </w:r>
    </w:p>
    <w:p w14:paraId="48280F5A" w14:textId="177E6F3C" w:rsidR="00E836CA" w:rsidRPr="00E836CA" w:rsidRDefault="00FF20A9" w:rsidP="00E836CA">
      <w:pPr>
        <w:pStyle w:val="ListParagraph"/>
        <w:numPr>
          <w:ilvl w:val="0"/>
          <w:numId w:val="46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E836CA">
        <w:rPr>
          <w:sz w:val="24"/>
          <w:szCs w:val="24"/>
          <w:lang w:val="cs-CZ"/>
        </w:rPr>
        <w:t>Žádost může být pacientem vzata kdykoliv zpět.</w:t>
      </w:r>
    </w:p>
    <w:p w14:paraId="067A0366" w14:textId="76EC6582" w:rsidR="0027696F" w:rsidRPr="00E836CA" w:rsidRDefault="0027696F" w:rsidP="00E836CA">
      <w:pPr>
        <w:spacing w:after="120" w:line="360" w:lineRule="auto"/>
        <w:ind w:left="360"/>
        <w:jc w:val="both"/>
        <w:rPr>
          <w:b/>
          <w:sz w:val="24"/>
          <w:szCs w:val="24"/>
          <w:lang w:val="cs-CZ"/>
        </w:rPr>
      </w:pPr>
      <w:r w:rsidRPr="00E836CA">
        <w:rPr>
          <w:b/>
          <w:sz w:val="24"/>
          <w:szCs w:val="24"/>
          <w:lang w:val="cs-CZ"/>
        </w:rPr>
        <w:t xml:space="preserve">Par. 203. </w:t>
      </w:r>
      <w:r w:rsidR="00E836CA">
        <w:rPr>
          <w:b/>
          <w:sz w:val="24"/>
          <w:szCs w:val="24"/>
          <w:lang w:val="cs-CZ"/>
        </w:rPr>
        <w:t>Posouzení žádosti</w:t>
      </w:r>
      <w:r w:rsidRPr="00E836CA">
        <w:rPr>
          <w:b/>
          <w:sz w:val="24"/>
          <w:szCs w:val="24"/>
          <w:lang w:val="cs-CZ"/>
        </w:rPr>
        <w:t>.</w:t>
      </w:r>
    </w:p>
    <w:p w14:paraId="70551733" w14:textId="3B4866B3" w:rsidR="0027696F" w:rsidRPr="00FD3F8E" w:rsidRDefault="00E836CA" w:rsidP="0027696F">
      <w:pPr>
        <w:pStyle w:val="ListParagraph"/>
        <w:numPr>
          <w:ilvl w:val="0"/>
          <w:numId w:val="37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Pacient žádost podává Komisi příslušného zdravotnického zařízení, která posoudí naplnění podmínek stanovených tímto zákonem</w:t>
      </w:r>
      <w:r w:rsidR="00FD3F8E">
        <w:rPr>
          <w:sz w:val="24"/>
          <w:szCs w:val="24"/>
          <w:lang w:val="cs-CZ"/>
        </w:rPr>
        <w:t>.</w:t>
      </w:r>
    </w:p>
    <w:p w14:paraId="64038477" w14:textId="49F02E25" w:rsidR="007A726E" w:rsidRPr="007A726E" w:rsidRDefault="00E836CA" w:rsidP="007A726E">
      <w:pPr>
        <w:pStyle w:val="ListParagraph"/>
        <w:numPr>
          <w:ilvl w:val="0"/>
          <w:numId w:val="37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Komise </w:t>
      </w:r>
      <w:r w:rsidR="004F65A8">
        <w:rPr>
          <w:sz w:val="24"/>
          <w:szCs w:val="24"/>
          <w:lang w:val="cs-CZ"/>
        </w:rPr>
        <w:t>je oprávněna</w:t>
      </w:r>
      <w:r>
        <w:rPr>
          <w:sz w:val="24"/>
          <w:szCs w:val="24"/>
          <w:lang w:val="cs-CZ"/>
        </w:rPr>
        <w:t xml:space="preserve"> při nesplnění podmínek stanovených tímto zákonem žádost pacienta zamítnout</w:t>
      </w:r>
      <w:r w:rsidR="003A166A">
        <w:rPr>
          <w:sz w:val="24"/>
          <w:szCs w:val="24"/>
          <w:lang w:val="cs-CZ"/>
        </w:rPr>
        <w:t>.</w:t>
      </w:r>
    </w:p>
    <w:p w14:paraId="14FD241A" w14:textId="76344B09" w:rsidR="00255751" w:rsidRDefault="00255751" w:rsidP="00255751">
      <w:pPr>
        <w:spacing w:after="120" w:line="360" w:lineRule="auto"/>
        <w:jc w:val="both"/>
        <w:rPr>
          <w:b/>
          <w:sz w:val="24"/>
          <w:szCs w:val="24"/>
          <w:lang w:val="cs-CZ"/>
        </w:rPr>
      </w:pPr>
    </w:p>
    <w:p w14:paraId="4F2F8776" w14:textId="4B11D80E" w:rsidR="00255751" w:rsidRDefault="00255751" w:rsidP="00255751">
      <w:pPr>
        <w:spacing w:after="120" w:line="360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Hlava III. – Eutanázie</w:t>
      </w:r>
    </w:p>
    <w:p w14:paraId="11A29971" w14:textId="3C8E999E" w:rsidR="00255751" w:rsidRDefault="00255751" w:rsidP="00255751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Par. 301. </w:t>
      </w:r>
      <w:r w:rsidR="00FE6DF6">
        <w:rPr>
          <w:b/>
          <w:sz w:val="24"/>
          <w:szCs w:val="24"/>
          <w:lang w:val="cs-CZ"/>
        </w:rPr>
        <w:t>Podmínky výkonu eutanázie</w:t>
      </w:r>
      <w:r>
        <w:rPr>
          <w:b/>
          <w:sz w:val="24"/>
          <w:szCs w:val="24"/>
          <w:lang w:val="cs-CZ"/>
        </w:rPr>
        <w:t>.</w:t>
      </w:r>
    </w:p>
    <w:p w14:paraId="76D81F40" w14:textId="6A3D73DB" w:rsidR="00255751" w:rsidRDefault="00255751" w:rsidP="00255751">
      <w:pPr>
        <w:pStyle w:val="ListParagraph"/>
        <w:numPr>
          <w:ilvl w:val="0"/>
          <w:numId w:val="47"/>
        </w:numPr>
        <w:spacing w:after="120" w:line="360" w:lineRule="auto"/>
        <w:jc w:val="both"/>
        <w:rPr>
          <w:sz w:val="24"/>
          <w:szCs w:val="24"/>
          <w:lang w:val="cs-CZ"/>
        </w:rPr>
      </w:pPr>
      <w:r w:rsidRPr="00255751">
        <w:rPr>
          <w:sz w:val="24"/>
          <w:szCs w:val="24"/>
          <w:lang w:val="cs-CZ"/>
        </w:rPr>
        <w:t xml:space="preserve">Pokud stav pacienta po podání žádosti neumožňuje </w:t>
      </w:r>
      <w:r>
        <w:rPr>
          <w:sz w:val="24"/>
          <w:szCs w:val="24"/>
          <w:lang w:val="cs-CZ"/>
        </w:rPr>
        <w:t>provést ukončení života s </w:t>
      </w:r>
      <w:r w:rsidR="00FE6DF6">
        <w:rPr>
          <w:sz w:val="24"/>
          <w:szCs w:val="24"/>
          <w:lang w:val="cs-CZ"/>
        </w:rPr>
        <w:t>pouhou</w:t>
      </w:r>
      <w:r>
        <w:rPr>
          <w:sz w:val="24"/>
          <w:szCs w:val="24"/>
          <w:lang w:val="cs-CZ"/>
        </w:rPr>
        <w:t xml:space="preserve"> asistencí lékaře, je možno ukončit život pacienta</w:t>
      </w:r>
      <w:r w:rsidR="00FE6DF6">
        <w:rPr>
          <w:sz w:val="24"/>
          <w:szCs w:val="24"/>
          <w:lang w:val="cs-CZ"/>
        </w:rPr>
        <w:t xml:space="preserve"> i</w:t>
      </w:r>
      <w:r>
        <w:rPr>
          <w:sz w:val="24"/>
          <w:szCs w:val="24"/>
          <w:lang w:val="cs-CZ"/>
        </w:rPr>
        <w:t xml:space="preserve"> bez </w:t>
      </w:r>
      <w:r w:rsidR="00FE6DF6">
        <w:rPr>
          <w:sz w:val="24"/>
          <w:szCs w:val="24"/>
          <w:lang w:val="cs-CZ"/>
        </w:rPr>
        <w:t>pacientova</w:t>
      </w:r>
      <w:r>
        <w:rPr>
          <w:sz w:val="24"/>
          <w:szCs w:val="24"/>
          <w:lang w:val="cs-CZ"/>
        </w:rPr>
        <w:t xml:space="preserve"> přičinění. Takové ukončení života pacienta provede lékař.</w:t>
      </w:r>
    </w:p>
    <w:p w14:paraId="3CAE9B12" w14:textId="7D8198CC" w:rsidR="00255751" w:rsidRPr="00255751" w:rsidRDefault="00255751" w:rsidP="00255751">
      <w:pPr>
        <w:pStyle w:val="ListParagraph"/>
        <w:numPr>
          <w:ilvl w:val="0"/>
          <w:numId w:val="47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Pacient musí v žádosti </w:t>
      </w:r>
      <w:r w:rsidR="00747111">
        <w:rPr>
          <w:sz w:val="24"/>
          <w:szCs w:val="24"/>
          <w:lang w:val="cs-CZ"/>
        </w:rPr>
        <w:t>výslovně uvést, že žádá ukončení svého života</w:t>
      </w:r>
      <w:r w:rsidR="00265C82">
        <w:rPr>
          <w:sz w:val="24"/>
          <w:szCs w:val="24"/>
          <w:lang w:val="cs-CZ"/>
        </w:rPr>
        <w:t xml:space="preserve"> jinou osobou -</w:t>
      </w:r>
      <w:r w:rsidR="00747111">
        <w:rPr>
          <w:sz w:val="24"/>
          <w:szCs w:val="24"/>
          <w:lang w:val="cs-CZ"/>
        </w:rPr>
        <w:t xml:space="preserve"> lékařem, pokud mu jeho zdravotní stav neumožní vykonat důstojné ukončení života. </w:t>
      </w:r>
      <w:r w:rsidR="00747111">
        <w:rPr>
          <w:sz w:val="24"/>
          <w:szCs w:val="24"/>
          <w:lang w:val="cs-CZ"/>
        </w:rPr>
        <w:lastRenderedPageBreak/>
        <w:t>V případě, že tuto skutečnost pacient ve své žádosti neuvede, pak postup dle odstavce (1) není přípustný.</w:t>
      </w:r>
    </w:p>
    <w:p w14:paraId="3B409822" w14:textId="77777777" w:rsidR="00514328" w:rsidRPr="004333CE" w:rsidRDefault="00514328" w:rsidP="00514328">
      <w:pPr>
        <w:pStyle w:val="ListParagraph"/>
        <w:spacing w:after="120"/>
        <w:ind w:left="360"/>
        <w:rPr>
          <w:sz w:val="24"/>
          <w:szCs w:val="24"/>
          <w:lang w:val="cs-CZ"/>
        </w:rPr>
      </w:pPr>
    </w:p>
    <w:p w14:paraId="6AD941EE" w14:textId="3524377B" w:rsidR="00514328" w:rsidRPr="004333CE" w:rsidRDefault="00D546DE" w:rsidP="00514328">
      <w:pPr>
        <w:pStyle w:val="ListParagraph"/>
        <w:spacing w:after="120"/>
        <w:ind w:left="360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Hlava V</w:t>
      </w:r>
      <w:r w:rsidR="00514328" w:rsidRPr="004333CE">
        <w:rPr>
          <w:b/>
          <w:sz w:val="24"/>
          <w:szCs w:val="24"/>
          <w:lang w:val="cs-CZ"/>
        </w:rPr>
        <w:t xml:space="preserve">I. – </w:t>
      </w:r>
      <w:r w:rsidR="00E836CA">
        <w:rPr>
          <w:b/>
          <w:sz w:val="24"/>
          <w:szCs w:val="24"/>
          <w:lang w:val="cs-CZ"/>
        </w:rPr>
        <w:t>Výkon ukončení života</w:t>
      </w:r>
    </w:p>
    <w:p w14:paraId="737C7FD7" w14:textId="1F670558" w:rsidR="003A7812" w:rsidRDefault="004F6633" w:rsidP="00263378">
      <w:pPr>
        <w:spacing w:after="120"/>
        <w:jc w:val="both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P</w:t>
      </w:r>
      <w:r w:rsidR="007A726E">
        <w:rPr>
          <w:b/>
          <w:sz w:val="24"/>
          <w:szCs w:val="24"/>
          <w:lang w:val="cs-CZ"/>
        </w:rPr>
        <w:t>ar. 4</w:t>
      </w:r>
      <w:r w:rsidR="00514328" w:rsidRPr="004333CE">
        <w:rPr>
          <w:b/>
          <w:sz w:val="24"/>
          <w:szCs w:val="24"/>
          <w:lang w:val="cs-CZ"/>
        </w:rPr>
        <w:t>01</w:t>
      </w:r>
      <w:r w:rsidRPr="004333CE">
        <w:rPr>
          <w:b/>
          <w:sz w:val="24"/>
          <w:szCs w:val="24"/>
          <w:lang w:val="cs-CZ"/>
        </w:rPr>
        <w:t xml:space="preserve">. </w:t>
      </w:r>
      <w:r w:rsidR="004F65A8">
        <w:rPr>
          <w:b/>
          <w:sz w:val="24"/>
          <w:szCs w:val="24"/>
          <w:lang w:val="cs-CZ"/>
        </w:rPr>
        <w:t>Zdravotnická zařízení</w:t>
      </w:r>
      <w:r w:rsidR="002D1C9D">
        <w:rPr>
          <w:b/>
          <w:sz w:val="24"/>
          <w:szCs w:val="24"/>
          <w:lang w:val="cs-CZ"/>
        </w:rPr>
        <w:t>.</w:t>
      </w:r>
    </w:p>
    <w:p w14:paraId="625B2306" w14:textId="0CA60360" w:rsidR="00F36D19" w:rsidRPr="004F65A8" w:rsidRDefault="00265C82" w:rsidP="004F65A8">
      <w:p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</w:t>
      </w:r>
      <w:r w:rsidR="004F65A8" w:rsidRPr="004F65A8">
        <w:rPr>
          <w:sz w:val="24"/>
          <w:szCs w:val="24"/>
          <w:lang w:val="cs-CZ"/>
        </w:rPr>
        <w:t xml:space="preserve">končení života </w:t>
      </w:r>
      <w:r w:rsidR="00FE6DF6">
        <w:rPr>
          <w:sz w:val="24"/>
          <w:szCs w:val="24"/>
          <w:lang w:val="cs-CZ"/>
        </w:rPr>
        <w:t xml:space="preserve">a eutanázie </w:t>
      </w:r>
      <w:r w:rsidR="00D546DE">
        <w:rPr>
          <w:sz w:val="24"/>
          <w:szCs w:val="24"/>
          <w:lang w:val="cs-CZ"/>
        </w:rPr>
        <w:t>mohou být vykonávány</w:t>
      </w:r>
      <w:r w:rsidR="004F65A8" w:rsidRPr="004F65A8">
        <w:rPr>
          <w:sz w:val="24"/>
          <w:szCs w:val="24"/>
          <w:lang w:val="cs-CZ"/>
        </w:rPr>
        <w:t xml:space="preserve"> pouze ve zdravotnických zařízeních, kterým byla udělena certifikace Ministerstvem zdravotnictví a sociálních služeb</w:t>
      </w:r>
      <w:r w:rsidR="00F36D19" w:rsidRPr="004F65A8">
        <w:rPr>
          <w:sz w:val="24"/>
          <w:szCs w:val="24"/>
          <w:lang w:val="cs-CZ"/>
        </w:rPr>
        <w:t xml:space="preserve">. </w:t>
      </w:r>
    </w:p>
    <w:p w14:paraId="4BD237B1" w14:textId="3F483826" w:rsidR="00FA6D0B" w:rsidRDefault="00FA6D0B" w:rsidP="00FA6D0B">
      <w:pPr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P</w:t>
      </w:r>
      <w:r w:rsidR="007A726E">
        <w:rPr>
          <w:b/>
          <w:sz w:val="24"/>
          <w:szCs w:val="24"/>
          <w:lang w:val="cs-CZ"/>
        </w:rPr>
        <w:t>ar. 4</w:t>
      </w:r>
      <w:r w:rsidRPr="004333CE">
        <w:rPr>
          <w:b/>
          <w:sz w:val="24"/>
          <w:szCs w:val="24"/>
          <w:lang w:val="cs-CZ"/>
        </w:rPr>
        <w:t xml:space="preserve">02.  </w:t>
      </w:r>
      <w:r w:rsidR="004F65A8">
        <w:rPr>
          <w:b/>
          <w:sz w:val="24"/>
          <w:szCs w:val="24"/>
          <w:lang w:val="cs-CZ"/>
        </w:rPr>
        <w:t>Osoby oprávněné k asistenci při ukončení života</w:t>
      </w:r>
      <w:r w:rsidR="00D546DE">
        <w:rPr>
          <w:b/>
          <w:sz w:val="24"/>
          <w:szCs w:val="24"/>
          <w:lang w:val="cs-CZ"/>
        </w:rPr>
        <w:t xml:space="preserve"> a osoby provádějící eutanázii</w:t>
      </w:r>
      <w:r w:rsidR="009C104E">
        <w:rPr>
          <w:b/>
          <w:sz w:val="24"/>
          <w:szCs w:val="24"/>
          <w:lang w:val="cs-CZ"/>
        </w:rPr>
        <w:t>.</w:t>
      </w:r>
      <w:r w:rsidRPr="004333CE">
        <w:rPr>
          <w:b/>
          <w:sz w:val="24"/>
          <w:szCs w:val="24"/>
          <w:lang w:val="cs-CZ"/>
        </w:rPr>
        <w:t xml:space="preserve"> </w:t>
      </w:r>
    </w:p>
    <w:p w14:paraId="6887C8E7" w14:textId="1EAA9CBF" w:rsidR="009C104E" w:rsidRDefault="004F65A8" w:rsidP="00351A7E">
      <w:pPr>
        <w:pStyle w:val="ListParagraph"/>
        <w:numPr>
          <w:ilvl w:val="0"/>
          <w:numId w:val="41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Důstojné ukončení života může být provedeno jen s asistencí lékaře</w:t>
      </w:r>
      <w:r w:rsidR="009C104E">
        <w:rPr>
          <w:sz w:val="24"/>
          <w:szCs w:val="24"/>
          <w:lang w:val="cs-CZ"/>
        </w:rPr>
        <w:t>.</w:t>
      </w:r>
    </w:p>
    <w:p w14:paraId="124C0BE7" w14:textId="50AD0997" w:rsidR="004F65A8" w:rsidRDefault="00255751" w:rsidP="00351A7E">
      <w:pPr>
        <w:pStyle w:val="ListParagraph"/>
        <w:numPr>
          <w:ilvl w:val="0"/>
          <w:numId w:val="41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Lékař je oprávněn odmítnout asistenc</w:t>
      </w:r>
      <w:r w:rsidR="00D546DE">
        <w:rPr>
          <w:sz w:val="24"/>
          <w:szCs w:val="24"/>
          <w:lang w:val="cs-CZ"/>
        </w:rPr>
        <w:t>i při ukončení života, stejně tak jako je oprávněn odmítnou</w:t>
      </w:r>
      <w:r w:rsidR="000C39BD">
        <w:rPr>
          <w:sz w:val="24"/>
          <w:szCs w:val="24"/>
          <w:lang w:val="cs-CZ"/>
        </w:rPr>
        <w:t>t</w:t>
      </w:r>
      <w:r w:rsidR="00D546DE">
        <w:rPr>
          <w:sz w:val="24"/>
          <w:szCs w:val="24"/>
          <w:lang w:val="cs-CZ"/>
        </w:rPr>
        <w:t xml:space="preserve"> vykonat eutanázii.</w:t>
      </w:r>
      <w:r>
        <w:rPr>
          <w:sz w:val="24"/>
          <w:szCs w:val="24"/>
          <w:lang w:val="cs-CZ"/>
        </w:rPr>
        <w:t xml:space="preserve"> </w:t>
      </w:r>
    </w:p>
    <w:p w14:paraId="7555AA03" w14:textId="73B5C611" w:rsidR="00255751" w:rsidRDefault="00255751" w:rsidP="00351A7E">
      <w:pPr>
        <w:pStyle w:val="ListParagraph"/>
        <w:numPr>
          <w:ilvl w:val="0"/>
          <w:numId w:val="41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Lékař, který asistuje při </w:t>
      </w:r>
      <w:r w:rsidR="00D546DE">
        <w:rPr>
          <w:sz w:val="24"/>
          <w:szCs w:val="24"/>
          <w:lang w:val="cs-CZ"/>
        </w:rPr>
        <w:t>ukončení života</w:t>
      </w:r>
      <w:r w:rsidR="007A726E">
        <w:rPr>
          <w:sz w:val="24"/>
          <w:szCs w:val="24"/>
          <w:lang w:val="cs-CZ"/>
        </w:rPr>
        <w:t xml:space="preserve"> či vykonává eutanázii, není trestně odpovědný za tyto činy, pakliže jsou naplněny všechny podmínky stanovené tímto zákonem.</w:t>
      </w:r>
      <w:r w:rsidR="00D546DE">
        <w:rPr>
          <w:sz w:val="24"/>
          <w:szCs w:val="24"/>
          <w:lang w:val="cs-CZ"/>
        </w:rPr>
        <w:t xml:space="preserve"> </w:t>
      </w:r>
    </w:p>
    <w:p w14:paraId="49E620AE" w14:textId="0A3A055E" w:rsidR="007A726E" w:rsidRDefault="007A726E" w:rsidP="00351A7E">
      <w:pPr>
        <w:pStyle w:val="ListParagraph"/>
        <w:numPr>
          <w:ilvl w:val="0"/>
          <w:numId w:val="41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Lékař, který asistuje při ukončení života či vykonává eutanázii, musí být zevrubně obeznámen se zdravotním stavem pacienta a musí být zcela přesvědčen, že nelze dosáhnout vyléčení pacienta.</w:t>
      </w:r>
    </w:p>
    <w:p w14:paraId="51AF4590" w14:textId="1B32C028" w:rsidR="007A726E" w:rsidRDefault="007A726E" w:rsidP="007A726E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7A726E">
        <w:rPr>
          <w:b/>
          <w:sz w:val="24"/>
          <w:szCs w:val="24"/>
          <w:lang w:val="cs-CZ"/>
        </w:rPr>
        <w:t>Par. 403. Lhůta od podání žádosti.</w:t>
      </w:r>
    </w:p>
    <w:p w14:paraId="05027D66" w14:textId="10BDE850" w:rsidR="007A726E" w:rsidRPr="007A726E" w:rsidRDefault="00265C82" w:rsidP="007A726E">
      <w:p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</w:t>
      </w:r>
      <w:r w:rsidR="007A726E">
        <w:rPr>
          <w:sz w:val="24"/>
          <w:szCs w:val="24"/>
          <w:lang w:val="cs-CZ"/>
        </w:rPr>
        <w:t>končení života anebo eutanázie mohou být vykonány po uplynutí nejméně jednoho měsíce od podání žádosti.</w:t>
      </w:r>
    </w:p>
    <w:p w14:paraId="5EFCAF8C" w14:textId="77777777" w:rsidR="004F65A8" w:rsidRDefault="004F65A8" w:rsidP="00AD2810">
      <w:pPr>
        <w:pStyle w:val="ListParagraph"/>
        <w:spacing w:after="120"/>
        <w:ind w:left="360"/>
        <w:jc w:val="center"/>
        <w:rPr>
          <w:sz w:val="24"/>
          <w:szCs w:val="24"/>
          <w:lang w:val="cs-CZ"/>
        </w:rPr>
      </w:pPr>
    </w:p>
    <w:p w14:paraId="7A24C8A0" w14:textId="0AD56EBE" w:rsidR="00CA4A43" w:rsidRPr="004333CE" w:rsidRDefault="00D71654" w:rsidP="00651695">
      <w:pPr>
        <w:pStyle w:val="Heading1"/>
        <w:spacing w:before="240" w:after="240"/>
        <w:rPr>
          <w:rFonts w:ascii="Times New Roman" w:hAnsi="Times New Roman" w:cs="Times New Roman"/>
        </w:rPr>
      </w:pPr>
      <w:r w:rsidRPr="004333CE">
        <w:rPr>
          <w:rFonts w:ascii="Times New Roman" w:hAnsi="Times New Roman" w:cs="Times New Roman"/>
        </w:rPr>
        <w:t>Hlava V</w:t>
      </w:r>
      <w:r w:rsidR="00F31C62">
        <w:rPr>
          <w:rFonts w:ascii="Times New Roman" w:hAnsi="Times New Roman" w:cs="Times New Roman"/>
        </w:rPr>
        <w:t xml:space="preserve"> –</w:t>
      </w:r>
      <w:bookmarkStart w:id="0" w:name="_GoBack"/>
      <w:bookmarkEnd w:id="0"/>
      <w:r w:rsidR="00705D29" w:rsidRPr="004333CE">
        <w:rPr>
          <w:rFonts w:ascii="Times New Roman" w:hAnsi="Times New Roman" w:cs="Times New Roman"/>
        </w:rPr>
        <w:t xml:space="preserve"> </w:t>
      </w:r>
      <w:r w:rsidR="00A80D0E">
        <w:rPr>
          <w:rFonts w:ascii="Times New Roman" w:hAnsi="Times New Roman" w:cs="Times New Roman"/>
        </w:rPr>
        <w:t>Závěrečná</w:t>
      </w:r>
      <w:r w:rsidR="6F797ABA" w:rsidRPr="004333CE">
        <w:rPr>
          <w:rFonts w:ascii="Times New Roman" w:hAnsi="Times New Roman" w:cs="Times New Roman"/>
        </w:rPr>
        <w:t xml:space="preserve"> ustanovení</w:t>
      </w:r>
    </w:p>
    <w:p w14:paraId="7208C241" w14:textId="17DBFC10" w:rsidR="0038657B" w:rsidRPr="004333CE" w:rsidRDefault="00D71654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Par. 5</w:t>
      </w:r>
      <w:r w:rsidR="00705D29" w:rsidRPr="004333CE">
        <w:rPr>
          <w:b/>
          <w:sz w:val="24"/>
          <w:szCs w:val="24"/>
          <w:lang w:val="cs-CZ"/>
        </w:rPr>
        <w:t>01. Účinnost.</w:t>
      </w:r>
    </w:p>
    <w:p w14:paraId="75EA4CC4" w14:textId="3FA3FE88" w:rsidR="00816969" w:rsidRPr="004333CE" w:rsidRDefault="00670CF8" w:rsidP="00D71654">
      <w:pPr>
        <w:spacing w:after="120" w:line="360" w:lineRule="auto"/>
        <w:jc w:val="both"/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>Tento z</w:t>
      </w:r>
      <w:r w:rsidR="00681917">
        <w:rPr>
          <w:sz w:val="24"/>
          <w:szCs w:val="24"/>
          <w:lang w:val="cs-CZ"/>
        </w:rPr>
        <w:t>ákon nabývá účinnosti 1. 7. 2019</w:t>
      </w:r>
      <w:r w:rsidRPr="004333CE">
        <w:rPr>
          <w:sz w:val="24"/>
          <w:szCs w:val="24"/>
          <w:lang w:val="cs-CZ"/>
        </w:rPr>
        <w:t xml:space="preserve">. </w:t>
      </w:r>
    </w:p>
    <w:sectPr w:rsidR="00816969" w:rsidRPr="004333CE" w:rsidSect="00A846B3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FE72E" w14:textId="77777777" w:rsidR="00E241FC" w:rsidRDefault="00E241FC" w:rsidP="00E14C9D">
      <w:pPr>
        <w:spacing w:after="0" w:line="240" w:lineRule="auto"/>
      </w:pPr>
      <w:r>
        <w:separator/>
      </w:r>
    </w:p>
  </w:endnote>
  <w:endnote w:type="continuationSeparator" w:id="0">
    <w:p w14:paraId="06F92823" w14:textId="77777777" w:rsidR="00E241FC" w:rsidRDefault="00E241FC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0B435476">
              <wp:simplePos x="0" y="0"/>
              <wp:positionH relativeFrom="column">
                <wp:posOffset>-917363</wp:posOffset>
              </wp:positionH>
              <wp:positionV relativeFrom="paragraph">
                <wp:posOffset>-158327</wp:posOffset>
              </wp:positionV>
              <wp:extent cx="7562850" cy="595207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5952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029CA" w14:textId="380E8C97" w:rsidR="00CA3D06" w:rsidRPr="002B5E0E" w:rsidRDefault="00CA3D06" w:rsidP="00CA3D06">
                          <w:pPr>
                            <w:pStyle w:val="Patika"/>
                          </w:pPr>
                          <w:r w:rsidRPr="002B5E0E">
                            <w:t>Pro potřeby Českého</w:t>
                          </w:r>
                          <w:r>
                            <w:t xml:space="preserve"> modelu amerického kongresu 2018 Aleš Kubíček.</w:t>
                          </w:r>
                          <w:r>
                            <w:br/>
                            <w:t>© 2018</w:t>
                          </w:r>
                          <w:r w:rsidRPr="002B5E0E">
                            <w:t xml:space="preserve"> Centrum politických studií, z. s. | www.americkykongres.cz | info@americkykongres.cz</w:t>
                          </w:r>
                        </w:p>
                        <w:p w14:paraId="4BAD5B43" w14:textId="0DCC9155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72.25pt;margin-top:-12.4pt;width:595.5pt;height:4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" filled="f" stroked="f">
              <v:textbox>
                <w:txbxContent>
                  <w:p w14:paraId="7BF029CA" w14:textId="380E8C97" w:rsidR="00CA3D06" w:rsidRPr="002B5E0E" w:rsidRDefault="00CA3D06" w:rsidP="00CA3D06">
                    <w:pPr>
                      <w:pStyle w:val="Patika"/>
                    </w:pPr>
                    <w:r w:rsidRPr="002B5E0E">
                      <w:t>Pro potřeby Českého</w:t>
                    </w:r>
                    <w:r>
                      <w:t xml:space="preserve"> modelu amerického kongresu 2018</w:t>
                    </w:r>
                    <w:r>
                      <w:t xml:space="preserve"> Aleš Kubíček</w:t>
                    </w:r>
                    <w:r>
                      <w:t>.</w:t>
                    </w:r>
                    <w:r>
                      <w:br/>
                      <w:t>© 2018</w:t>
                    </w:r>
                    <w:r w:rsidRPr="002B5E0E">
                      <w:t xml:space="preserve"> Centrum politických studií, z. s. | www.americkykongres.cz | info@americkykongres.cz</w:t>
                    </w:r>
                  </w:p>
                  <w:p w14:paraId="4BAD5B43" w14:textId="0DCC9155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8E2BB" w14:textId="77777777" w:rsidR="00E241FC" w:rsidRDefault="00E241FC" w:rsidP="00E14C9D">
      <w:pPr>
        <w:spacing w:after="0" w:line="240" w:lineRule="auto"/>
      </w:pPr>
      <w:r>
        <w:separator/>
      </w:r>
    </w:p>
  </w:footnote>
  <w:footnote w:type="continuationSeparator" w:id="0">
    <w:p w14:paraId="7D13202D" w14:textId="77777777" w:rsidR="00E241FC" w:rsidRDefault="00E241FC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E267867">
          <wp:simplePos x="0" y="0"/>
          <wp:positionH relativeFrom="page">
            <wp:align>right</wp:align>
          </wp:positionH>
          <wp:positionV relativeFrom="margin">
            <wp:posOffset>-1449070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Header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FFD"/>
    <w:multiLevelType w:val="hybridMultilevel"/>
    <w:tmpl w:val="5C6E4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1F1D"/>
    <w:multiLevelType w:val="hybridMultilevel"/>
    <w:tmpl w:val="9AAC420E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2404"/>
    <w:multiLevelType w:val="hybridMultilevel"/>
    <w:tmpl w:val="E4DA0828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3E60"/>
    <w:multiLevelType w:val="hybridMultilevel"/>
    <w:tmpl w:val="52BAFC5C"/>
    <w:lvl w:ilvl="0" w:tplc="7E921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B615A"/>
    <w:multiLevelType w:val="hybridMultilevel"/>
    <w:tmpl w:val="0E3EE0A6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B9EE5B1E">
      <w:start w:val="1"/>
      <w:numFmt w:val="upperLetter"/>
      <w:lvlText w:val="%2)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C6BD2"/>
    <w:multiLevelType w:val="multilevel"/>
    <w:tmpl w:val="FA04F8D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8">
    <w:nsid w:val="171D5D48"/>
    <w:multiLevelType w:val="hybridMultilevel"/>
    <w:tmpl w:val="B1B02A10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41A3380"/>
    <w:multiLevelType w:val="hybridMultilevel"/>
    <w:tmpl w:val="B19082B0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02EE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E3897"/>
    <w:multiLevelType w:val="hybridMultilevel"/>
    <w:tmpl w:val="6890ED54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EC7DEE"/>
    <w:multiLevelType w:val="multilevel"/>
    <w:tmpl w:val="A46E90D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upperLetter"/>
      <w:lvlText w:val="%2)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63862"/>
    <w:multiLevelType w:val="hybridMultilevel"/>
    <w:tmpl w:val="B1B02A10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163E4"/>
    <w:multiLevelType w:val="hybridMultilevel"/>
    <w:tmpl w:val="BF407832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C1A2A"/>
    <w:multiLevelType w:val="hybridMultilevel"/>
    <w:tmpl w:val="C8061764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B2E6F"/>
    <w:multiLevelType w:val="hybridMultilevel"/>
    <w:tmpl w:val="20E074FE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A0160"/>
    <w:multiLevelType w:val="hybridMultilevel"/>
    <w:tmpl w:val="580C21E6"/>
    <w:lvl w:ilvl="0" w:tplc="A030C6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7592CDB"/>
    <w:multiLevelType w:val="hybridMultilevel"/>
    <w:tmpl w:val="D2B2B6E2"/>
    <w:lvl w:ilvl="0" w:tplc="D74CF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04AE7"/>
    <w:multiLevelType w:val="hybridMultilevel"/>
    <w:tmpl w:val="9B826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F0631"/>
    <w:multiLevelType w:val="hybridMultilevel"/>
    <w:tmpl w:val="25F0B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98481D"/>
    <w:multiLevelType w:val="hybridMultilevel"/>
    <w:tmpl w:val="20E074FE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17425"/>
    <w:multiLevelType w:val="hybridMultilevel"/>
    <w:tmpl w:val="B1B02A10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31737"/>
    <w:multiLevelType w:val="hybridMultilevel"/>
    <w:tmpl w:val="36DC2494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F2B5B"/>
    <w:multiLevelType w:val="hybridMultilevel"/>
    <w:tmpl w:val="7CAA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B2D0E"/>
    <w:multiLevelType w:val="hybridMultilevel"/>
    <w:tmpl w:val="B1B02A10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1595B"/>
    <w:multiLevelType w:val="hybridMultilevel"/>
    <w:tmpl w:val="A46E90D0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B9EE5B1E">
      <w:start w:val="1"/>
      <w:numFmt w:val="upperLetter"/>
      <w:lvlText w:val="%2)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256CD1"/>
    <w:multiLevelType w:val="hybridMultilevel"/>
    <w:tmpl w:val="A2A05B50"/>
    <w:lvl w:ilvl="0" w:tplc="009E24BC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82D20AF"/>
    <w:multiLevelType w:val="hybridMultilevel"/>
    <w:tmpl w:val="0C2E82A0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9689A"/>
    <w:multiLevelType w:val="hybridMultilevel"/>
    <w:tmpl w:val="B84A8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F70D6"/>
    <w:multiLevelType w:val="hybridMultilevel"/>
    <w:tmpl w:val="0FA2F5E4"/>
    <w:lvl w:ilvl="0" w:tplc="A63A7D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46"/>
  </w:num>
  <w:num w:numId="4">
    <w:abstractNumId w:val="15"/>
  </w:num>
  <w:num w:numId="5">
    <w:abstractNumId w:val="32"/>
  </w:num>
  <w:num w:numId="6">
    <w:abstractNumId w:val="12"/>
  </w:num>
  <w:num w:numId="7">
    <w:abstractNumId w:val="20"/>
  </w:num>
  <w:num w:numId="8">
    <w:abstractNumId w:val="35"/>
  </w:num>
  <w:num w:numId="9">
    <w:abstractNumId w:val="34"/>
  </w:num>
  <w:num w:numId="10">
    <w:abstractNumId w:val="22"/>
  </w:num>
  <w:num w:numId="11">
    <w:abstractNumId w:val="1"/>
  </w:num>
  <w:num w:numId="12">
    <w:abstractNumId w:val="37"/>
  </w:num>
  <w:num w:numId="13">
    <w:abstractNumId w:val="9"/>
  </w:num>
  <w:num w:numId="14">
    <w:abstractNumId w:val="10"/>
  </w:num>
  <w:num w:numId="15">
    <w:abstractNumId w:val="24"/>
  </w:num>
  <w:num w:numId="16">
    <w:abstractNumId w:val="25"/>
  </w:num>
  <w:num w:numId="17">
    <w:abstractNumId w:val="16"/>
  </w:num>
  <w:num w:numId="18">
    <w:abstractNumId w:val="7"/>
  </w:num>
  <w:num w:numId="19">
    <w:abstractNumId w:val="23"/>
  </w:num>
  <w:num w:numId="20">
    <w:abstractNumId w:val="19"/>
  </w:num>
  <w:num w:numId="21">
    <w:abstractNumId w:val="44"/>
  </w:num>
  <w:num w:numId="22">
    <w:abstractNumId w:val="31"/>
  </w:num>
  <w:num w:numId="23">
    <w:abstractNumId w:val="27"/>
  </w:num>
  <w:num w:numId="24">
    <w:abstractNumId w:val="42"/>
  </w:num>
  <w:num w:numId="25">
    <w:abstractNumId w:val="30"/>
  </w:num>
  <w:num w:numId="26">
    <w:abstractNumId w:val="13"/>
  </w:num>
  <w:num w:numId="27">
    <w:abstractNumId w:val="29"/>
  </w:num>
  <w:num w:numId="28">
    <w:abstractNumId w:val="45"/>
  </w:num>
  <w:num w:numId="29">
    <w:abstractNumId w:val="4"/>
  </w:num>
  <w:num w:numId="30">
    <w:abstractNumId w:val="33"/>
  </w:num>
  <w:num w:numId="31">
    <w:abstractNumId w:val="38"/>
  </w:num>
  <w:num w:numId="32">
    <w:abstractNumId w:val="39"/>
  </w:num>
  <w:num w:numId="33">
    <w:abstractNumId w:val="6"/>
  </w:num>
  <w:num w:numId="34">
    <w:abstractNumId w:val="0"/>
  </w:num>
  <w:num w:numId="35">
    <w:abstractNumId w:val="41"/>
  </w:num>
  <w:num w:numId="36">
    <w:abstractNumId w:val="18"/>
  </w:num>
  <w:num w:numId="37">
    <w:abstractNumId w:val="3"/>
  </w:num>
  <w:num w:numId="38">
    <w:abstractNumId w:val="2"/>
  </w:num>
  <w:num w:numId="39">
    <w:abstractNumId w:val="26"/>
  </w:num>
  <w:num w:numId="40">
    <w:abstractNumId w:val="8"/>
  </w:num>
  <w:num w:numId="41">
    <w:abstractNumId w:val="40"/>
  </w:num>
  <w:num w:numId="42">
    <w:abstractNumId w:val="14"/>
  </w:num>
  <w:num w:numId="43">
    <w:abstractNumId w:val="43"/>
  </w:num>
  <w:num w:numId="44">
    <w:abstractNumId w:val="36"/>
  </w:num>
  <w:num w:numId="45">
    <w:abstractNumId w:val="17"/>
  </w:num>
  <w:num w:numId="46">
    <w:abstractNumId w:val="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D"/>
    <w:rsid w:val="00041048"/>
    <w:rsid w:val="00045B4D"/>
    <w:rsid w:val="00047B7E"/>
    <w:rsid w:val="00050369"/>
    <w:rsid w:val="00061634"/>
    <w:rsid w:val="000727D3"/>
    <w:rsid w:val="0008036F"/>
    <w:rsid w:val="00083398"/>
    <w:rsid w:val="00086807"/>
    <w:rsid w:val="00090937"/>
    <w:rsid w:val="00090981"/>
    <w:rsid w:val="00090F83"/>
    <w:rsid w:val="000A1D1B"/>
    <w:rsid w:val="000A2154"/>
    <w:rsid w:val="000A2B9D"/>
    <w:rsid w:val="000A394E"/>
    <w:rsid w:val="000A663C"/>
    <w:rsid w:val="000B2AF1"/>
    <w:rsid w:val="000B5568"/>
    <w:rsid w:val="000B6699"/>
    <w:rsid w:val="000C0C09"/>
    <w:rsid w:val="000C28AF"/>
    <w:rsid w:val="000C39BD"/>
    <w:rsid w:val="000C70E1"/>
    <w:rsid w:val="000C7581"/>
    <w:rsid w:val="000E2B92"/>
    <w:rsid w:val="000E5143"/>
    <w:rsid w:val="00122771"/>
    <w:rsid w:val="0015528C"/>
    <w:rsid w:val="00170529"/>
    <w:rsid w:val="001754C6"/>
    <w:rsid w:val="00190E0B"/>
    <w:rsid w:val="00197371"/>
    <w:rsid w:val="001A3ABF"/>
    <w:rsid w:val="001A67D3"/>
    <w:rsid w:val="001B3769"/>
    <w:rsid w:val="001B3DB7"/>
    <w:rsid w:val="001D0119"/>
    <w:rsid w:val="001D36B2"/>
    <w:rsid w:val="001D76AA"/>
    <w:rsid w:val="001D7BC9"/>
    <w:rsid w:val="001E241B"/>
    <w:rsid w:val="001E3B63"/>
    <w:rsid w:val="001F362A"/>
    <w:rsid w:val="002023FE"/>
    <w:rsid w:val="00202802"/>
    <w:rsid w:val="00211B83"/>
    <w:rsid w:val="00215AE9"/>
    <w:rsid w:val="002256A0"/>
    <w:rsid w:val="00233B98"/>
    <w:rsid w:val="00234FBA"/>
    <w:rsid w:val="00240289"/>
    <w:rsid w:val="002403A0"/>
    <w:rsid w:val="00255751"/>
    <w:rsid w:val="00257549"/>
    <w:rsid w:val="00261737"/>
    <w:rsid w:val="00262BAA"/>
    <w:rsid w:val="00263378"/>
    <w:rsid w:val="00265C82"/>
    <w:rsid w:val="0027696F"/>
    <w:rsid w:val="00280FA0"/>
    <w:rsid w:val="00284454"/>
    <w:rsid w:val="00292AB0"/>
    <w:rsid w:val="00294D79"/>
    <w:rsid w:val="00295971"/>
    <w:rsid w:val="002B1ABA"/>
    <w:rsid w:val="002B2130"/>
    <w:rsid w:val="002B4D65"/>
    <w:rsid w:val="002B6AD3"/>
    <w:rsid w:val="002C2A54"/>
    <w:rsid w:val="002D1C9D"/>
    <w:rsid w:val="002D5948"/>
    <w:rsid w:val="002E1130"/>
    <w:rsid w:val="002E5E96"/>
    <w:rsid w:val="002E7AEA"/>
    <w:rsid w:val="002F4E94"/>
    <w:rsid w:val="002F69A8"/>
    <w:rsid w:val="00301A8F"/>
    <w:rsid w:val="003124E1"/>
    <w:rsid w:val="00332527"/>
    <w:rsid w:val="00337209"/>
    <w:rsid w:val="00347CF5"/>
    <w:rsid w:val="00351A7E"/>
    <w:rsid w:val="003548C2"/>
    <w:rsid w:val="00355534"/>
    <w:rsid w:val="00355D3D"/>
    <w:rsid w:val="0035741A"/>
    <w:rsid w:val="0036225B"/>
    <w:rsid w:val="003705C7"/>
    <w:rsid w:val="00370696"/>
    <w:rsid w:val="003819EA"/>
    <w:rsid w:val="00383BF3"/>
    <w:rsid w:val="0038657B"/>
    <w:rsid w:val="00392D51"/>
    <w:rsid w:val="003942E6"/>
    <w:rsid w:val="0039705D"/>
    <w:rsid w:val="003A166A"/>
    <w:rsid w:val="003A7812"/>
    <w:rsid w:val="003C022A"/>
    <w:rsid w:val="003C0346"/>
    <w:rsid w:val="003C6980"/>
    <w:rsid w:val="003C7E19"/>
    <w:rsid w:val="003D1B3C"/>
    <w:rsid w:val="003D42A8"/>
    <w:rsid w:val="003D74ED"/>
    <w:rsid w:val="003E1752"/>
    <w:rsid w:val="003E2968"/>
    <w:rsid w:val="003E5F4F"/>
    <w:rsid w:val="003E7F85"/>
    <w:rsid w:val="003F1345"/>
    <w:rsid w:val="003F435B"/>
    <w:rsid w:val="003F51A6"/>
    <w:rsid w:val="003F7CEE"/>
    <w:rsid w:val="004012CA"/>
    <w:rsid w:val="004200B8"/>
    <w:rsid w:val="00420142"/>
    <w:rsid w:val="00422329"/>
    <w:rsid w:val="004333CE"/>
    <w:rsid w:val="00442DDD"/>
    <w:rsid w:val="00442F4E"/>
    <w:rsid w:val="00454B82"/>
    <w:rsid w:val="004643FB"/>
    <w:rsid w:val="004675FC"/>
    <w:rsid w:val="004713F2"/>
    <w:rsid w:val="00471934"/>
    <w:rsid w:val="0049162D"/>
    <w:rsid w:val="00495F8A"/>
    <w:rsid w:val="004A2408"/>
    <w:rsid w:val="004A38FE"/>
    <w:rsid w:val="004A6CB8"/>
    <w:rsid w:val="004B35CB"/>
    <w:rsid w:val="004B7EDD"/>
    <w:rsid w:val="004F0334"/>
    <w:rsid w:val="004F0C55"/>
    <w:rsid w:val="004F32E4"/>
    <w:rsid w:val="004F4821"/>
    <w:rsid w:val="004F4C00"/>
    <w:rsid w:val="004F5300"/>
    <w:rsid w:val="004F65A8"/>
    <w:rsid w:val="004F6633"/>
    <w:rsid w:val="00503927"/>
    <w:rsid w:val="00504A65"/>
    <w:rsid w:val="00514328"/>
    <w:rsid w:val="00524B23"/>
    <w:rsid w:val="00533369"/>
    <w:rsid w:val="00536528"/>
    <w:rsid w:val="005368AB"/>
    <w:rsid w:val="00540322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8093B"/>
    <w:rsid w:val="00594CBF"/>
    <w:rsid w:val="00595C1B"/>
    <w:rsid w:val="005A13AF"/>
    <w:rsid w:val="005A2032"/>
    <w:rsid w:val="005A5CA7"/>
    <w:rsid w:val="005B259A"/>
    <w:rsid w:val="005B56CB"/>
    <w:rsid w:val="005E3299"/>
    <w:rsid w:val="006108CA"/>
    <w:rsid w:val="00613761"/>
    <w:rsid w:val="00616736"/>
    <w:rsid w:val="00617946"/>
    <w:rsid w:val="00641104"/>
    <w:rsid w:val="006457BF"/>
    <w:rsid w:val="00650215"/>
    <w:rsid w:val="00651695"/>
    <w:rsid w:val="00670CF8"/>
    <w:rsid w:val="0067306D"/>
    <w:rsid w:val="006755AC"/>
    <w:rsid w:val="00681917"/>
    <w:rsid w:val="006841A9"/>
    <w:rsid w:val="00697CE6"/>
    <w:rsid w:val="006A6429"/>
    <w:rsid w:val="006B5E08"/>
    <w:rsid w:val="006B72F3"/>
    <w:rsid w:val="006C16F4"/>
    <w:rsid w:val="006D7795"/>
    <w:rsid w:val="006F2CFE"/>
    <w:rsid w:val="006F4AF7"/>
    <w:rsid w:val="006F5428"/>
    <w:rsid w:val="00705D29"/>
    <w:rsid w:val="00713733"/>
    <w:rsid w:val="00735ED8"/>
    <w:rsid w:val="0073665C"/>
    <w:rsid w:val="00736961"/>
    <w:rsid w:val="00737A97"/>
    <w:rsid w:val="007410F5"/>
    <w:rsid w:val="0074499C"/>
    <w:rsid w:val="00745836"/>
    <w:rsid w:val="00747111"/>
    <w:rsid w:val="00747642"/>
    <w:rsid w:val="0075527D"/>
    <w:rsid w:val="00756148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A726E"/>
    <w:rsid w:val="007B7412"/>
    <w:rsid w:val="007C34A7"/>
    <w:rsid w:val="007C3E90"/>
    <w:rsid w:val="007C542F"/>
    <w:rsid w:val="007C7F06"/>
    <w:rsid w:val="007D031D"/>
    <w:rsid w:val="007D0DB1"/>
    <w:rsid w:val="007D718F"/>
    <w:rsid w:val="007D7898"/>
    <w:rsid w:val="007F71F8"/>
    <w:rsid w:val="008079C2"/>
    <w:rsid w:val="008102EF"/>
    <w:rsid w:val="00816969"/>
    <w:rsid w:val="00835750"/>
    <w:rsid w:val="008454B8"/>
    <w:rsid w:val="00852037"/>
    <w:rsid w:val="008558FD"/>
    <w:rsid w:val="00855FB6"/>
    <w:rsid w:val="00857F89"/>
    <w:rsid w:val="00863CB7"/>
    <w:rsid w:val="008726C7"/>
    <w:rsid w:val="00894CA8"/>
    <w:rsid w:val="008A1A15"/>
    <w:rsid w:val="008A6AD9"/>
    <w:rsid w:val="008B3E3B"/>
    <w:rsid w:val="008B53A8"/>
    <w:rsid w:val="008C1951"/>
    <w:rsid w:val="008C499E"/>
    <w:rsid w:val="008C67B8"/>
    <w:rsid w:val="008D6BC0"/>
    <w:rsid w:val="008E4DAD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754B"/>
    <w:rsid w:val="00944CC9"/>
    <w:rsid w:val="0095694D"/>
    <w:rsid w:val="00966501"/>
    <w:rsid w:val="00967B85"/>
    <w:rsid w:val="00983590"/>
    <w:rsid w:val="00987BA5"/>
    <w:rsid w:val="009902D0"/>
    <w:rsid w:val="00992EA5"/>
    <w:rsid w:val="00993E79"/>
    <w:rsid w:val="0099410B"/>
    <w:rsid w:val="00996B08"/>
    <w:rsid w:val="009A2BF6"/>
    <w:rsid w:val="009A51B7"/>
    <w:rsid w:val="009B49D5"/>
    <w:rsid w:val="009C104E"/>
    <w:rsid w:val="009C476B"/>
    <w:rsid w:val="009D7776"/>
    <w:rsid w:val="009E4439"/>
    <w:rsid w:val="009E553E"/>
    <w:rsid w:val="009E5947"/>
    <w:rsid w:val="009E776E"/>
    <w:rsid w:val="00A03253"/>
    <w:rsid w:val="00A11211"/>
    <w:rsid w:val="00A11A8A"/>
    <w:rsid w:val="00A1365D"/>
    <w:rsid w:val="00A17BE1"/>
    <w:rsid w:val="00A230C5"/>
    <w:rsid w:val="00A265EA"/>
    <w:rsid w:val="00A364B8"/>
    <w:rsid w:val="00A365DD"/>
    <w:rsid w:val="00A407A2"/>
    <w:rsid w:val="00A40E05"/>
    <w:rsid w:val="00A415D1"/>
    <w:rsid w:val="00A425A8"/>
    <w:rsid w:val="00A42DB9"/>
    <w:rsid w:val="00A449E8"/>
    <w:rsid w:val="00A506E3"/>
    <w:rsid w:val="00A5366F"/>
    <w:rsid w:val="00A53CB7"/>
    <w:rsid w:val="00A54EFD"/>
    <w:rsid w:val="00A779B2"/>
    <w:rsid w:val="00A80D0E"/>
    <w:rsid w:val="00A846B3"/>
    <w:rsid w:val="00A9330F"/>
    <w:rsid w:val="00AA5381"/>
    <w:rsid w:val="00AB3571"/>
    <w:rsid w:val="00AC29AD"/>
    <w:rsid w:val="00AD0CF5"/>
    <w:rsid w:val="00AD26FD"/>
    <w:rsid w:val="00AD2810"/>
    <w:rsid w:val="00AD4F56"/>
    <w:rsid w:val="00AE47A7"/>
    <w:rsid w:val="00AE59F4"/>
    <w:rsid w:val="00AE6C80"/>
    <w:rsid w:val="00AF2748"/>
    <w:rsid w:val="00B247FF"/>
    <w:rsid w:val="00B24C88"/>
    <w:rsid w:val="00B365D3"/>
    <w:rsid w:val="00B37B3F"/>
    <w:rsid w:val="00B51827"/>
    <w:rsid w:val="00B55141"/>
    <w:rsid w:val="00B65198"/>
    <w:rsid w:val="00B675C8"/>
    <w:rsid w:val="00B81D97"/>
    <w:rsid w:val="00B8634C"/>
    <w:rsid w:val="00B95E82"/>
    <w:rsid w:val="00BA1701"/>
    <w:rsid w:val="00BA7EC7"/>
    <w:rsid w:val="00BB3D7C"/>
    <w:rsid w:val="00BB66F8"/>
    <w:rsid w:val="00BB6733"/>
    <w:rsid w:val="00BC7361"/>
    <w:rsid w:val="00BD257C"/>
    <w:rsid w:val="00BD50C3"/>
    <w:rsid w:val="00BD55BB"/>
    <w:rsid w:val="00BE26A4"/>
    <w:rsid w:val="00BF6410"/>
    <w:rsid w:val="00C00E92"/>
    <w:rsid w:val="00C24C0F"/>
    <w:rsid w:val="00C30C46"/>
    <w:rsid w:val="00C341BE"/>
    <w:rsid w:val="00C602EB"/>
    <w:rsid w:val="00C71137"/>
    <w:rsid w:val="00C72193"/>
    <w:rsid w:val="00C8213C"/>
    <w:rsid w:val="00C84454"/>
    <w:rsid w:val="00C8469E"/>
    <w:rsid w:val="00C95EBA"/>
    <w:rsid w:val="00C95F95"/>
    <w:rsid w:val="00CA0497"/>
    <w:rsid w:val="00CA3D06"/>
    <w:rsid w:val="00CA4A43"/>
    <w:rsid w:val="00CA705C"/>
    <w:rsid w:val="00CA7875"/>
    <w:rsid w:val="00CB2255"/>
    <w:rsid w:val="00CC1ACF"/>
    <w:rsid w:val="00CC482D"/>
    <w:rsid w:val="00CC4C28"/>
    <w:rsid w:val="00CD2165"/>
    <w:rsid w:val="00CE2CB1"/>
    <w:rsid w:val="00CF1000"/>
    <w:rsid w:val="00CF188C"/>
    <w:rsid w:val="00D01918"/>
    <w:rsid w:val="00D061A2"/>
    <w:rsid w:val="00D0761F"/>
    <w:rsid w:val="00D133DC"/>
    <w:rsid w:val="00D22E43"/>
    <w:rsid w:val="00D245DF"/>
    <w:rsid w:val="00D30F39"/>
    <w:rsid w:val="00D34A73"/>
    <w:rsid w:val="00D35CD6"/>
    <w:rsid w:val="00D41361"/>
    <w:rsid w:val="00D44148"/>
    <w:rsid w:val="00D546DE"/>
    <w:rsid w:val="00D657F3"/>
    <w:rsid w:val="00D71654"/>
    <w:rsid w:val="00D77F0A"/>
    <w:rsid w:val="00D77FCC"/>
    <w:rsid w:val="00D82D95"/>
    <w:rsid w:val="00D83ACF"/>
    <w:rsid w:val="00D85B3B"/>
    <w:rsid w:val="00D860DE"/>
    <w:rsid w:val="00DA0405"/>
    <w:rsid w:val="00DA7C03"/>
    <w:rsid w:val="00DB1C22"/>
    <w:rsid w:val="00DC20A2"/>
    <w:rsid w:val="00DD2F44"/>
    <w:rsid w:val="00DD69F5"/>
    <w:rsid w:val="00DE00F0"/>
    <w:rsid w:val="00DE55B6"/>
    <w:rsid w:val="00DF30D6"/>
    <w:rsid w:val="00DF354D"/>
    <w:rsid w:val="00DF3B9C"/>
    <w:rsid w:val="00DF68A9"/>
    <w:rsid w:val="00E00CFC"/>
    <w:rsid w:val="00E14C9D"/>
    <w:rsid w:val="00E21DFC"/>
    <w:rsid w:val="00E241FC"/>
    <w:rsid w:val="00E3374A"/>
    <w:rsid w:val="00E439F1"/>
    <w:rsid w:val="00E43B0F"/>
    <w:rsid w:val="00E56E03"/>
    <w:rsid w:val="00E603CD"/>
    <w:rsid w:val="00E67010"/>
    <w:rsid w:val="00E75DEC"/>
    <w:rsid w:val="00E76756"/>
    <w:rsid w:val="00E8268F"/>
    <w:rsid w:val="00E82D16"/>
    <w:rsid w:val="00E836CA"/>
    <w:rsid w:val="00E867FB"/>
    <w:rsid w:val="00E919FF"/>
    <w:rsid w:val="00E92D39"/>
    <w:rsid w:val="00E92F34"/>
    <w:rsid w:val="00E94D70"/>
    <w:rsid w:val="00EA3932"/>
    <w:rsid w:val="00EA3EA4"/>
    <w:rsid w:val="00EA5C3A"/>
    <w:rsid w:val="00EB22E7"/>
    <w:rsid w:val="00EB2CB8"/>
    <w:rsid w:val="00EB48FA"/>
    <w:rsid w:val="00EB766E"/>
    <w:rsid w:val="00EC04A3"/>
    <w:rsid w:val="00EC777A"/>
    <w:rsid w:val="00ED27D8"/>
    <w:rsid w:val="00EE521F"/>
    <w:rsid w:val="00EE7987"/>
    <w:rsid w:val="00EF2C28"/>
    <w:rsid w:val="00F31C62"/>
    <w:rsid w:val="00F366C0"/>
    <w:rsid w:val="00F36D19"/>
    <w:rsid w:val="00F37434"/>
    <w:rsid w:val="00F4225A"/>
    <w:rsid w:val="00F450CB"/>
    <w:rsid w:val="00F52752"/>
    <w:rsid w:val="00F70F07"/>
    <w:rsid w:val="00F7218A"/>
    <w:rsid w:val="00F73EC6"/>
    <w:rsid w:val="00F805CD"/>
    <w:rsid w:val="00F86F4E"/>
    <w:rsid w:val="00F93FD9"/>
    <w:rsid w:val="00FA0FE5"/>
    <w:rsid w:val="00FA1905"/>
    <w:rsid w:val="00FA3005"/>
    <w:rsid w:val="00FA40DF"/>
    <w:rsid w:val="00FA6D0B"/>
    <w:rsid w:val="00FA6E12"/>
    <w:rsid w:val="00FB51A4"/>
    <w:rsid w:val="00FC386A"/>
    <w:rsid w:val="00FD28B5"/>
    <w:rsid w:val="00FD36CE"/>
    <w:rsid w:val="00FD3F8E"/>
    <w:rsid w:val="00FD4411"/>
    <w:rsid w:val="00FD6335"/>
    <w:rsid w:val="00FE2414"/>
    <w:rsid w:val="00FE6DF6"/>
    <w:rsid w:val="00FF20A9"/>
    <w:rsid w:val="00FF2E98"/>
    <w:rsid w:val="00FF6D69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D1B"/>
    <w:pPr>
      <w:spacing w:after="200" w:line="276" w:lineRule="auto"/>
    </w:pPr>
    <w:rPr>
      <w:sz w:val="22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A4A43"/>
    <w:pPr>
      <w:jc w:val="center"/>
      <w:outlineLvl w:val="0"/>
    </w:pPr>
    <w:rPr>
      <w:rFonts w:ascii="Tahoma" w:hAnsi="Tahoma" w:cs="Tahoma"/>
      <w:sz w:val="24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82D"/>
    <w:pPr>
      <w:keepNext/>
      <w:keepLines/>
      <w:spacing w:before="200" w:after="0"/>
      <w:outlineLvl w:val="1"/>
    </w:pPr>
    <w:rPr>
      <w:rFonts w:ascii="Helvetica" w:eastAsia="MS PGothic" w:hAnsi="Helvetic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D1B"/>
    <w:pPr>
      <w:keepNext/>
      <w:keepLines/>
      <w:spacing w:before="200" w:after="0"/>
      <w:outlineLvl w:val="2"/>
    </w:pPr>
    <w:rPr>
      <w:rFonts w:ascii="Arial" w:eastAsia="MS PGothic" w:hAnsi="Arial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A43"/>
    <w:rPr>
      <w:rFonts w:ascii="Tahoma" w:eastAsia="MS PGothic" w:hAnsi="Tahoma" w:cs="Tahoma"/>
      <w:b/>
      <w:bCs/>
      <w:sz w:val="24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D1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  <w:style w:type="paragraph" w:customStyle="1" w:styleId="Patika">
    <w:name w:val="Patička"/>
    <w:basedOn w:val="Normal"/>
    <w:link w:val="PatikaChar"/>
    <w:qFormat/>
    <w:rsid w:val="00CA3D06"/>
    <w:pPr>
      <w:spacing w:before="120" w:after="240"/>
      <w:jc w:val="center"/>
    </w:pPr>
    <w:rPr>
      <w:rFonts w:ascii="Arial" w:eastAsiaTheme="minorEastAsia" w:hAnsi="Arial" w:cstheme="minorBidi"/>
      <w:color w:val="7F7F7F" w:themeColor="text1" w:themeTint="80"/>
      <w:lang w:val="cs-CZ"/>
    </w:rPr>
  </w:style>
  <w:style w:type="character" w:customStyle="1" w:styleId="PatikaChar">
    <w:name w:val="Patička Char"/>
    <w:basedOn w:val="DefaultParagraphFont"/>
    <w:link w:val="Patika"/>
    <w:rsid w:val="00CA3D06"/>
    <w:rPr>
      <w:rFonts w:ascii="Arial" w:eastAsiaTheme="minorEastAsia" w:hAnsi="Arial" w:cstheme="minorBidi"/>
      <w:color w:val="7F7F7F" w:themeColor="text1" w:themeTint="80"/>
      <w:sz w:val="22"/>
      <w:szCs w:val="22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D978B-7487-465A-8D6E-8250CD457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AEF7E-3FAC-0042-8696-1AAAB69E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533</Words>
  <Characters>3076</Characters>
  <Application>Microsoft Macintosh Word</Application>
  <DocSecurity>0</DocSecurity>
  <Lines>76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Adam Westlake</cp:lastModifiedBy>
  <cp:revision>17</cp:revision>
  <dcterms:created xsi:type="dcterms:W3CDTF">2018-02-26T13:26:00Z</dcterms:created>
  <dcterms:modified xsi:type="dcterms:W3CDTF">2018-08-29T09:19:00Z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