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8950A6" w14:paraId="1423725A" w14:textId="77777777" w:rsidTr="007940BF">
        <w:tc>
          <w:tcPr>
            <w:tcW w:w="4530" w:type="dxa"/>
          </w:tcPr>
          <w:p w14:paraId="2B0D180E" w14:textId="7EB148A5" w:rsidR="0036225B" w:rsidRPr="008950A6" w:rsidRDefault="0063213D" w:rsidP="00670CF8">
            <w:pPr>
              <w:spacing w:after="120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24"/>
                <w:szCs w:val="24"/>
                <w:lang w:val="cs-CZ"/>
              </w:rPr>
              <w:t>H</w:t>
            </w:r>
            <w:r w:rsidR="0039345D" w:rsidRPr="008950A6">
              <w:rPr>
                <w:rFonts w:eastAsia="Tahoma"/>
                <w:b/>
                <w:iCs/>
                <w:sz w:val="24"/>
                <w:szCs w:val="24"/>
                <w:lang w:val="cs-CZ"/>
              </w:rPr>
              <w:t>R. 126</w:t>
            </w:r>
            <w:r w:rsidR="00670CF8" w:rsidRPr="008950A6">
              <w:rPr>
                <w:rFonts w:eastAsia="Tahoma"/>
                <w:b/>
                <w:iCs/>
                <w:sz w:val="24"/>
                <w:szCs w:val="24"/>
                <w:lang w:val="cs-CZ"/>
              </w:rPr>
              <w:t>1</w:t>
            </w:r>
          </w:p>
        </w:tc>
        <w:tc>
          <w:tcPr>
            <w:tcW w:w="4530" w:type="dxa"/>
          </w:tcPr>
          <w:p w14:paraId="10331E70" w14:textId="0EA69899" w:rsidR="0036225B" w:rsidRPr="008950A6" w:rsidRDefault="00670CF8" w:rsidP="005C4C43">
            <w:pPr>
              <w:tabs>
                <w:tab w:val="left" w:pos="900"/>
              </w:tabs>
              <w:spacing w:after="120"/>
              <w:jc w:val="right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8950A6">
              <w:rPr>
                <w:rFonts w:eastAsia="Tahoma"/>
                <w:iCs/>
                <w:sz w:val="24"/>
                <w:szCs w:val="24"/>
                <w:lang w:val="cs-CZ"/>
              </w:rPr>
              <w:t xml:space="preserve">Výbor </w:t>
            </w:r>
            <w:r w:rsidR="005C4C43" w:rsidRPr="008950A6">
              <w:rPr>
                <w:rFonts w:eastAsia="Tahoma"/>
                <w:iCs/>
                <w:sz w:val="24"/>
                <w:szCs w:val="24"/>
                <w:lang w:val="cs-CZ"/>
              </w:rPr>
              <w:t>zahraniční vztahy</w:t>
            </w:r>
          </w:p>
        </w:tc>
      </w:tr>
      <w:tr w:rsidR="0036225B" w:rsidRPr="008950A6" w14:paraId="24EBB17F" w14:textId="77777777" w:rsidTr="00AD4F56">
        <w:tc>
          <w:tcPr>
            <w:tcW w:w="9060" w:type="dxa"/>
            <w:gridSpan w:val="2"/>
          </w:tcPr>
          <w:p w14:paraId="7882F91D" w14:textId="78FCA6F7" w:rsidR="003E5F4F" w:rsidRPr="008950A6" w:rsidRDefault="00FF6D69" w:rsidP="003E5F4F">
            <w:pPr>
              <w:spacing w:after="0"/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8950A6">
              <w:rPr>
                <w:rFonts w:eastAsia="Tahoma"/>
                <w:b/>
                <w:iCs/>
                <w:sz w:val="32"/>
                <w:szCs w:val="24"/>
                <w:lang w:val="cs-CZ"/>
              </w:rPr>
              <w:t>Český model amerického kongresu 2017</w:t>
            </w:r>
          </w:p>
          <w:p w14:paraId="76F1E83A" w14:textId="4F2FB55A" w:rsidR="0036225B" w:rsidRPr="008950A6" w:rsidRDefault="00FF6D69" w:rsidP="0036225B">
            <w:pPr>
              <w:spacing w:after="0"/>
              <w:jc w:val="center"/>
              <w:rPr>
                <w:rFonts w:eastAsia="Tahoma"/>
                <w:iCs/>
                <w:szCs w:val="24"/>
                <w:lang w:val="cs-CZ"/>
              </w:rPr>
            </w:pPr>
            <w:r w:rsidRPr="008950A6">
              <w:rPr>
                <w:rFonts w:eastAsia="Tahoma"/>
                <w:iCs/>
                <w:szCs w:val="24"/>
                <w:lang w:val="cs-CZ"/>
              </w:rPr>
              <w:t>zahájen a konán</w:t>
            </w:r>
            <w:r w:rsidR="0036225B" w:rsidRPr="008950A6">
              <w:rPr>
                <w:rFonts w:eastAsia="Tahoma"/>
                <w:iCs/>
                <w:szCs w:val="24"/>
                <w:lang w:val="cs-CZ"/>
              </w:rPr>
              <w:t xml:space="preserve"> v městě </w:t>
            </w:r>
            <w:r w:rsidRPr="008950A6">
              <w:rPr>
                <w:rFonts w:eastAsia="Tahoma"/>
                <w:iCs/>
                <w:szCs w:val="24"/>
                <w:lang w:val="cs-CZ"/>
              </w:rPr>
              <w:t>Plzeň</w:t>
            </w:r>
            <w:r w:rsidR="0036225B" w:rsidRPr="008950A6">
              <w:rPr>
                <w:rFonts w:eastAsia="Tahoma"/>
                <w:iCs/>
                <w:szCs w:val="24"/>
                <w:lang w:val="cs-CZ"/>
              </w:rPr>
              <w:t xml:space="preserve"> v </w:t>
            </w:r>
            <w:r w:rsidRPr="008950A6">
              <w:rPr>
                <w:rFonts w:eastAsia="Tahoma"/>
                <w:iCs/>
                <w:szCs w:val="24"/>
                <w:lang w:val="cs-CZ"/>
              </w:rPr>
              <w:t>neděli</w:t>
            </w:r>
            <w:r w:rsidR="0036225B" w:rsidRPr="008950A6">
              <w:rPr>
                <w:rFonts w:eastAsia="Tahoma"/>
                <w:iCs/>
                <w:szCs w:val="24"/>
                <w:lang w:val="cs-CZ"/>
              </w:rPr>
              <w:t>,</w:t>
            </w:r>
          </w:p>
          <w:p w14:paraId="0929D561" w14:textId="442C918B" w:rsidR="0036225B" w:rsidRPr="008950A6" w:rsidRDefault="0036225B" w:rsidP="00670CF8">
            <w:pPr>
              <w:spacing w:after="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8950A6">
              <w:rPr>
                <w:rFonts w:eastAsia="Tahoma"/>
                <w:iCs/>
                <w:szCs w:val="24"/>
                <w:lang w:val="cs-CZ"/>
              </w:rPr>
              <w:t xml:space="preserve"> </w:t>
            </w:r>
            <w:r w:rsidR="00670CF8" w:rsidRPr="008950A6">
              <w:rPr>
                <w:rFonts w:eastAsia="Tahoma"/>
                <w:iCs/>
                <w:szCs w:val="24"/>
                <w:lang w:val="cs-CZ"/>
              </w:rPr>
              <w:t>devátého</w:t>
            </w:r>
            <w:r w:rsidR="00FF6D69" w:rsidRPr="008950A6">
              <w:rPr>
                <w:rFonts w:eastAsia="Tahoma"/>
                <w:iCs/>
                <w:szCs w:val="24"/>
                <w:lang w:val="cs-CZ"/>
              </w:rPr>
              <w:t xml:space="preserve"> září</w:t>
            </w:r>
            <w:r w:rsidRPr="008950A6">
              <w:rPr>
                <w:rFonts w:eastAsia="Tahoma"/>
                <w:iCs/>
                <w:szCs w:val="24"/>
                <w:lang w:val="cs-CZ"/>
              </w:rPr>
              <w:t xml:space="preserve"> roku dvoutisícího </w:t>
            </w:r>
            <w:r w:rsidR="00670CF8" w:rsidRPr="008950A6">
              <w:rPr>
                <w:rFonts w:eastAsia="Tahoma"/>
                <w:iCs/>
                <w:szCs w:val="24"/>
                <w:lang w:val="cs-CZ"/>
              </w:rPr>
              <w:t>osmnáctého</w:t>
            </w:r>
          </w:p>
        </w:tc>
      </w:tr>
      <w:tr w:rsidR="0036225B" w:rsidRPr="008950A6" w14:paraId="020EA662" w14:textId="77777777" w:rsidTr="00AD4F56">
        <w:tc>
          <w:tcPr>
            <w:tcW w:w="9060" w:type="dxa"/>
            <w:gridSpan w:val="2"/>
          </w:tcPr>
          <w:p w14:paraId="31B87D73" w14:textId="77777777" w:rsidR="0036225B" w:rsidRPr="008950A6" w:rsidRDefault="0036225B" w:rsidP="0036225B">
            <w:pPr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8950A6">
              <w:rPr>
                <w:rFonts w:eastAsia="Tahoma"/>
                <w:b/>
                <w:iCs/>
                <w:sz w:val="32"/>
                <w:szCs w:val="24"/>
                <w:lang w:val="cs-CZ"/>
              </w:rPr>
              <w:t>ZÁKON</w:t>
            </w:r>
          </w:p>
          <w:p w14:paraId="3AA5B49C" w14:textId="734B100E" w:rsidR="0036225B" w:rsidRPr="008950A6" w:rsidRDefault="003C7E19" w:rsidP="003C19EB">
            <w:pPr>
              <w:jc w:val="center"/>
              <w:rPr>
                <w:rFonts w:eastAsia="Tahoma"/>
                <w:b/>
                <w:iCs/>
                <w:sz w:val="24"/>
                <w:szCs w:val="24"/>
                <w:lang w:val="cs-CZ"/>
              </w:rPr>
            </w:pPr>
            <w:r w:rsidRPr="008950A6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 </w:t>
            </w:r>
            <w:r w:rsidR="003C19EB" w:rsidRPr="008950A6">
              <w:rPr>
                <w:rFonts w:eastAsia="Tahoma"/>
                <w:b/>
                <w:iCs/>
                <w:sz w:val="24"/>
                <w:szCs w:val="24"/>
                <w:lang w:val="cs-CZ"/>
              </w:rPr>
              <w:t>O rekonstrukci Blízkého východu</w:t>
            </w:r>
          </w:p>
        </w:tc>
      </w:tr>
      <w:tr w:rsidR="0036225B" w:rsidRPr="008950A6" w14:paraId="630FEA9C" w14:textId="77777777" w:rsidTr="00AD4F56">
        <w:tc>
          <w:tcPr>
            <w:tcW w:w="9060" w:type="dxa"/>
            <w:gridSpan w:val="2"/>
          </w:tcPr>
          <w:p w14:paraId="459793DA" w14:textId="5048AB01" w:rsidR="0036225B" w:rsidRPr="008950A6" w:rsidRDefault="0036225B" w:rsidP="00383BF3">
            <w:pPr>
              <w:spacing w:before="24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8950A6">
              <w:rPr>
                <w:rFonts w:eastAsia="Tahoma"/>
                <w:i/>
                <w:iCs/>
                <w:sz w:val="24"/>
                <w:szCs w:val="24"/>
                <w:lang w:val="cs-CZ"/>
              </w:rPr>
              <w:t>Sená</w:t>
            </w:r>
            <w:r w:rsidR="00383BF3" w:rsidRPr="008950A6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t a Sněmovna reprezentantů </w:t>
            </w:r>
            <w:r w:rsidRPr="008950A6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Spojených států amerických </w:t>
            </w:r>
            <w:r w:rsidR="00383BF3" w:rsidRPr="008950A6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se v Kongresu </w:t>
            </w:r>
            <w:r w:rsidR="009A6511">
              <w:rPr>
                <w:rFonts w:eastAsia="Tahoma"/>
                <w:i/>
                <w:iCs/>
                <w:sz w:val="24"/>
                <w:szCs w:val="24"/>
                <w:lang w:val="cs-CZ"/>
              </w:rPr>
              <w:t>usnesli</w:t>
            </w:r>
            <w:r w:rsidRPr="008950A6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 na tomto zákonu:</w:t>
            </w:r>
          </w:p>
        </w:tc>
      </w:tr>
    </w:tbl>
    <w:p w14:paraId="504B7A6B" w14:textId="3C426C8A" w:rsidR="00FA40DF" w:rsidRPr="008950A6" w:rsidRDefault="00705D29" w:rsidP="00651695">
      <w:pPr>
        <w:spacing w:before="240" w:after="240" w:line="360" w:lineRule="auto"/>
        <w:jc w:val="center"/>
        <w:rPr>
          <w:b/>
          <w:sz w:val="24"/>
          <w:szCs w:val="24"/>
          <w:lang w:val="cs-CZ"/>
        </w:rPr>
      </w:pPr>
      <w:r w:rsidRPr="008950A6">
        <w:rPr>
          <w:b/>
          <w:sz w:val="24"/>
          <w:szCs w:val="24"/>
          <w:lang w:val="cs-CZ"/>
        </w:rPr>
        <w:t>Hlava I – Úvodní ustanovení</w:t>
      </w:r>
    </w:p>
    <w:p w14:paraId="6AC79596" w14:textId="028074C2" w:rsidR="0039345D" w:rsidRPr="008950A6" w:rsidRDefault="00705D29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8950A6">
        <w:rPr>
          <w:b/>
          <w:sz w:val="24"/>
          <w:szCs w:val="24"/>
          <w:lang w:val="cs-CZ"/>
        </w:rPr>
        <w:t xml:space="preserve">Par. 101. </w:t>
      </w:r>
    </w:p>
    <w:p w14:paraId="23AFD26D" w14:textId="77777777" w:rsidR="00C31246" w:rsidRPr="008950A6" w:rsidRDefault="0039345D" w:rsidP="00263378">
      <w:pPr>
        <w:spacing w:after="120" w:line="360" w:lineRule="auto"/>
        <w:jc w:val="both"/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>Spojené státy</w:t>
      </w:r>
    </w:p>
    <w:p w14:paraId="64EFDE82" w14:textId="0F5D051B" w:rsidR="0039345D" w:rsidRPr="008950A6" w:rsidRDefault="0039345D" w:rsidP="00C31246">
      <w:pPr>
        <w:pStyle w:val="Odstavecseseznamem"/>
        <w:numPr>
          <w:ilvl w:val="0"/>
          <w:numId w:val="37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 xml:space="preserve"> budou i po vojenské porážce takzvaného Islámského státu pokračovat v boji proti němu s cílem ú</w:t>
      </w:r>
      <w:r w:rsidR="0029532F" w:rsidRPr="008950A6">
        <w:rPr>
          <w:sz w:val="24"/>
          <w:szCs w:val="24"/>
          <w:lang w:val="cs-CZ"/>
        </w:rPr>
        <w:t>plného zničení této organizace,</w:t>
      </w:r>
    </w:p>
    <w:p w14:paraId="597206E2" w14:textId="1252D9E3" w:rsidR="0039345D" w:rsidRPr="008950A6" w:rsidRDefault="0039345D" w:rsidP="00C31246">
      <w:pPr>
        <w:pStyle w:val="Odstavecseseznamem"/>
        <w:numPr>
          <w:ilvl w:val="0"/>
          <w:numId w:val="37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>budou nadále podporovat své spojence v</w:t>
      </w:r>
      <w:r w:rsidR="0029532F" w:rsidRPr="008950A6">
        <w:rPr>
          <w:sz w:val="24"/>
          <w:szCs w:val="24"/>
          <w:lang w:val="cs-CZ"/>
        </w:rPr>
        <w:t> </w:t>
      </w:r>
      <w:r w:rsidRPr="008950A6">
        <w:rPr>
          <w:sz w:val="24"/>
          <w:szCs w:val="24"/>
          <w:lang w:val="cs-CZ"/>
        </w:rPr>
        <w:t>oblasti</w:t>
      </w:r>
      <w:r w:rsidR="0029532F" w:rsidRPr="008950A6">
        <w:rPr>
          <w:sz w:val="24"/>
          <w:szCs w:val="24"/>
          <w:lang w:val="cs-CZ"/>
        </w:rPr>
        <w:t xml:space="preserve"> Blízkého východu</w:t>
      </w:r>
      <w:r w:rsidRPr="008950A6">
        <w:rPr>
          <w:sz w:val="24"/>
          <w:szCs w:val="24"/>
          <w:lang w:val="cs-CZ"/>
        </w:rPr>
        <w:t xml:space="preserve"> a to zvláště pomocí opatření stanovených v tomto záko</w:t>
      </w:r>
      <w:r w:rsidR="0029532F" w:rsidRPr="008950A6">
        <w:rPr>
          <w:sz w:val="24"/>
          <w:szCs w:val="24"/>
          <w:lang w:val="cs-CZ"/>
        </w:rPr>
        <w:t>ně,</w:t>
      </w:r>
    </w:p>
    <w:p w14:paraId="17488952" w14:textId="72F5C7D1" w:rsidR="00A757AE" w:rsidRPr="008950A6" w:rsidRDefault="00A757AE" w:rsidP="00C31246">
      <w:pPr>
        <w:pStyle w:val="Odstavecseseznamem"/>
        <w:numPr>
          <w:ilvl w:val="0"/>
          <w:numId w:val="37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>se budou aktivně ú</w:t>
      </w:r>
      <w:r w:rsidR="0029532F" w:rsidRPr="008950A6">
        <w:rPr>
          <w:sz w:val="24"/>
          <w:szCs w:val="24"/>
          <w:lang w:val="cs-CZ"/>
        </w:rPr>
        <w:t xml:space="preserve">častnit procesu obnovy oblasti a </w:t>
      </w:r>
    </w:p>
    <w:p w14:paraId="15B73A14" w14:textId="4B20E74B" w:rsidR="0029532F" w:rsidRPr="008950A6" w:rsidRDefault="0029532F" w:rsidP="00C31246">
      <w:pPr>
        <w:pStyle w:val="Odstavecseseznamem"/>
        <w:numPr>
          <w:ilvl w:val="0"/>
          <w:numId w:val="37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 xml:space="preserve">podniknou veškeré kroky potřebné k stabilizaci Blízkého východu a přilehlých území. </w:t>
      </w:r>
    </w:p>
    <w:p w14:paraId="638C537D" w14:textId="45D13F84" w:rsidR="00765B51" w:rsidRPr="008950A6" w:rsidRDefault="00765B51" w:rsidP="00651695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  <w:r w:rsidRPr="008950A6">
        <w:rPr>
          <w:b/>
          <w:sz w:val="24"/>
          <w:szCs w:val="24"/>
          <w:lang w:val="cs-CZ"/>
        </w:rPr>
        <w:t>Hlava II –</w:t>
      </w:r>
      <w:r w:rsidR="00B365D3" w:rsidRPr="008950A6">
        <w:rPr>
          <w:b/>
          <w:sz w:val="24"/>
          <w:szCs w:val="24"/>
          <w:lang w:val="cs-CZ"/>
        </w:rPr>
        <w:t xml:space="preserve"> </w:t>
      </w:r>
      <w:r w:rsidR="004C1258" w:rsidRPr="008950A6">
        <w:rPr>
          <w:b/>
          <w:sz w:val="24"/>
          <w:szCs w:val="24"/>
          <w:lang w:val="cs-CZ"/>
        </w:rPr>
        <w:t>Sýrie</w:t>
      </w:r>
    </w:p>
    <w:p w14:paraId="3D9986B2" w14:textId="190C182B" w:rsidR="004C1258" w:rsidRPr="008950A6" w:rsidRDefault="004C1258" w:rsidP="004C1258">
      <w:pPr>
        <w:spacing w:before="240" w:after="240"/>
        <w:rPr>
          <w:b/>
          <w:sz w:val="24"/>
          <w:szCs w:val="24"/>
          <w:lang w:val="cs-CZ"/>
        </w:rPr>
      </w:pPr>
      <w:r w:rsidRPr="008950A6">
        <w:rPr>
          <w:b/>
          <w:sz w:val="24"/>
          <w:szCs w:val="24"/>
          <w:lang w:val="cs-CZ"/>
        </w:rPr>
        <w:t xml:space="preserve">Par. 201 </w:t>
      </w:r>
    </w:p>
    <w:p w14:paraId="3E7361B1" w14:textId="1BECE93A" w:rsidR="005C4C43" w:rsidRPr="008950A6" w:rsidRDefault="005C4C43" w:rsidP="005C4C43">
      <w:pPr>
        <w:pStyle w:val="Odstavecseseznamem"/>
        <w:numPr>
          <w:ilvl w:val="0"/>
          <w:numId w:val="34"/>
        </w:numPr>
        <w:spacing w:before="240" w:after="240"/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>Cílem politiky Spojených států v Sýrii bude nadále</w:t>
      </w:r>
      <w:r w:rsidR="004C1258" w:rsidRPr="008950A6">
        <w:rPr>
          <w:sz w:val="24"/>
          <w:szCs w:val="24"/>
          <w:lang w:val="cs-CZ"/>
        </w:rPr>
        <w:t xml:space="preserve"> </w:t>
      </w:r>
      <w:r w:rsidRPr="008950A6">
        <w:rPr>
          <w:sz w:val="24"/>
          <w:szCs w:val="24"/>
          <w:lang w:val="cs-CZ"/>
        </w:rPr>
        <w:t xml:space="preserve">rezignace prezidenta </w:t>
      </w:r>
      <w:proofErr w:type="spellStart"/>
      <w:r w:rsidRPr="008950A6">
        <w:rPr>
          <w:sz w:val="24"/>
          <w:szCs w:val="24"/>
          <w:lang w:val="cs-CZ"/>
        </w:rPr>
        <w:t>Asada</w:t>
      </w:r>
      <w:proofErr w:type="spellEnd"/>
      <w:r w:rsidRPr="008950A6">
        <w:rPr>
          <w:sz w:val="24"/>
          <w:szCs w:val="24"/>
          <w:lang w:val="cs-CZ"/>
        </w:rPr>
        <w:t xml:space="preserve">. </w:t>
      </w:r>
    </w:p>
    <w:p w14:paraId="0DF6050B" w14:textId="77777777" w:rsidR="005C4C43" w:rsidRPr="008950A6" w:rsidRDefault="005C4C43" w:rsidP="005C4C43">
      <w:pPr>
        <w:pStyle w:val="Odstavecseseznamem"/>
        <w:spacing w:before="240" w:after="240"/>
        <w:rPr>
          <w:sz w:val="24"/>
          <w:szCs w:val="24"/>
          <w:lang w:val="cs-CZ"/>
        </w:rPr>
      </w:pPr>
    </w:p>
    <w:p w14:paraId="6AD941EE" w14:textId="22163107" w:rsidR="00514328" w:rsidRPr="008950A6" w:rsidRDefault="00514328" w:rsidP="00514328">
      <w:pPr>
        <w:pStyle w:val="Odstavecseseznamem"/>
        <w:spacing w:after="120"/>
        <w:ind w:left="360"/>
        <w:jc w:val="center"/>
        <w:rPr>
          <w:b/>
          <w:sz w:val="24"/>
          <w:szCs w:val="24"/>
          <w:lang w:val="cs-CZ"/>
        </w:rPr>
      </w:pPr>
      <w:r w:rsidRPr="008950A6">
        <w:rPr>
          <w:b/>
          <w:sz w:val="24"/>
          <w:szCs w:val="24"/>
          <w:lang w:val="cs-CZ"/>
        </w:rPr>
        <w:t xml:space="preserve">Hlava III. – </w:t>
      </w:r>
      <w:r w:rsidR="00A757AE" w:rsidRPr="008950A6">
        <w:rPr>
          <w:b/>
          <w:sz w:val="24"/>
          <w:szCs w:val="24"/>
          <w:lang w:val="cs-CZ"/>
        </w:rPr>
        <w:t>Otázka kurdské menšiny v oblasti</w:t>
      </w:r>
    </w:p>
    <w:p w14:paraId="4772F6E4" w14:textId="77777777" w:rsidR="00A757AE" w:rsidRPr="008950A6" w:rsidRDefault="004F6633" w:rsidP="00A757AE">
      <w:pPr>
        <w:spacing w:after="120"/>
        <w:jc w:val="both"/>
        <w:rPr>
          <w:b/>
          <w:sz w:val="24"/>
          <w:szCs w:val="24"/>
          <w:lang w:val="cs-CZ"/>
        </w:rPr>
      </w:pPr>
      <w:r w:rsidRPr="008950A6">
        <w:rPr>
          <w:b/>
          <w:sz w:val="24"/>
          <w:szCs w:val="24"/>
          <w:lang w:val="cs-CZ"/>
        </w:rPr>
        <w:t>P</w:t>
      </w:r>
      <w:r w:rsidR="00514328" w:rsidRPr="008950A6">
        <w:rPr>
          <w:b/>
          <w:sz w:val="24"/>
          <w:szCs w:val="24"/>
          <w:lang w:val="cs-CZ"/>
        </w:rPr>
        <w:t>ar. 301</w:t>
      </w:r>
      <w:r w:rsidRPr="008950A6">
        <w:rPr>
          <w:b/>
          <w:sz w:val="24"/>
          <w:szCs w:val="24"/>
          <w:lang w:val="cs-CZ"/>
        </w:rPr>
        <w:t xml:space="preserve">. </w:t>
      </w:r>
    </w:p>
    <w:p w14:paraId="4F4E9C8C" w14:textId="56CD4FFA" w:rsidR="00A757AE" w:rsidRPr="008950A6" w:rsidRDefault="00A757AE" w:rsidP="00A757AE">
      <w:pPr>
        <w:pStyle w:val="Odstavecseseznamem"/>
        <w:numPr>
          <w:ilvl w:val="0"/>
          <w:numId w:val="33"/>
        </w:numPr>
        <w:spacing w:after="120"/>
        <w:jc w:val="both"/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>Spojené státy se zasadí, aby Kurdům byla umožněna poklidná existence a realizace jejich přirozeného práva na sebeurčení.</w:t>
      </w:r>
    </w:p>
    <w:p w14:paraId="40AD6375" w14:textId="5DC7451B" w:rsidR="00A757AE" w:rsidRPr="008950A6" w:rsidRDefault="00A757AE" w:rsidP="00A757AE">
      <w:pPr>
        <w:pStyle w:val="Odstavecseseznamem"/>
        <w:numPr>
          <w:ilvl w:val="0"/>
          <w:numId w:val="33"/>
        </w:numPr>
        <w:spacing w:after="120"/>
        <w:jc w:val="both"/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 xml:space="preserve">Právo na sebeurčení dle odstavce 1 by mělo být realizováno výhradně v rámci existujících státních útvarů a to především cestou autonomie. </w:t>
      </w:r>
    </w:p>
    <w:p w14:paraId="2E715DCE" w14:textId="69294A75" w:rsidR="004C1258" w:rsidRPr="008950A6" w:rsidRDefault="004C1258" w:rsidP="00A757AE">
      <w:pPr>
        <w:pStyle w:val="Odstavecseseznamem"/>
        <w:numPr>
          <w:ilvl w:val="0"/>
          <w:numId w:val="33"/>
        </w:numPr>
        <w:spacing w:after="120"/>
        <w:jc w:val="both"/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lastRenderedPageBreak/>
        <w:t>Spojené státy vyčlení pro fiskální rok</w:t>
      </w:r>
      <w:r w:rsidR="008950A6" w:rsidRPr="008950A6">
        <w:rPr>
          <w:sz w:val="24"/>
          <w:szCs w:val="24"/>
          <w:lang w:val="cs-CZ"/>
        </w:rPr>
        <w:t>y 2019-2021 3</w:t>
      </w:r>
      <w:r w:rsidRPr="008950A6">
        <w:rPr>
          <w:sz w:val="24"/>
          <w:szCs w:val="24"/>
          <w:lang w:val="cs-CZ"/>
        </w:rPr>
        <w:t xml:space="preserve">00 milionů dolarů na finanční, materiální a vojenskou podporu Kurdů, kteří se zúčastnili bojů proti takzvanému Islámskému státu. </w:t>
      </w:r>
    </w:p>
    <w:p w14:paraId="652BF646" w14:textId="39A2F7B8" w:rsidR="00E919FF" w:rsidRPr="008950A6" w:rsidRDefault="009D6F58" w:rsidP="009D6F58">
      <w:pPr>
        <w:spacing w:after="120"/>
        <w:jc w:val="center"/>
        <w:rPr>
          <w:b/>
          <w:sz w:val="24"/>
          <w:szCs w:val="24"/>
          <w:lang w:val="cs-CZ"/>
        </w:rPr>
      </w:pPr>
      <w:r w:rsidRPr="008950A6">
        <w:rPr>
          <w:b/>
          <w:sz w:val="24"/>
          <w:szCs w:val="24"/>
          <w:lang w:val="cs-CZ"/>
        </w:rPr>
        <w:t xml:space="preserve">Hlava IV - Irák </w:t>
      </w:r>
    </w:p>
    <w:p w14:paraId="3C06304D" w14:textId="05E057F5" w:rsidR="009D6F58" w:rsidRPr="008950A6" w:rsidRDefault="009D6F58" w:rsidP="009D6F58">
      <w:pPr>
        <w:spacing w:after="120"/>
        <w:rPr>
          <w:b/>
          <w:sz w:val="24"/>
          <w:szCs w:val="24"/>
          <w:lang w:val="cs-CZ"/>
        </w:rPr>
      </w:pPr>
      <w:r w:rsidRPr="008950A6">
        <w:rPr>
          <w:b/>
          <w:sz w:val="24"/>
          <w:szCs w:val="24"/>
          <w:lang w:val="cs-CZ"/>
        </w:rPr>
        <w:t>Par. 401.</w:t>
      </w:r>
    </w:p>
    <w:p w14:paraId="4C921573" w14:textId="03154DAE" w:rsidR="009D6F58" w:rsidRPr="008950A6" w:rsidRDefault="009D6F58" w:rsidP="00355534">
      <w:pPr>
        <w:tabs>
          <w:tab w:val="left" w:pos="375"/>
        </w:tabs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>Spojené státy:</w:t>
      </w:r>
    </w:p>
    <w:p w14:paraId="60F7405A" w14:textId="5FC8389D" w:rsidR="00355534" w:rsidRPr="008950A6" w:rsidRDefault="009D6F58" w:rsidP="009D6F58">
      <w:pPr>
        <w:pStyle w:val="Odstavecseseznamem"/>
        <w:numPr>
          <w:ilvl w:val="0"/>
          <w:numId w:val="35"/>
        </w:numPr>
        <w:tabs>
          <w:tab w:val="left" w:pos="375"/>
        </w:tabs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 xml:space="preserve">budou spolupracovat s iráckou vládou na posílení obrany Bagdádu, </w:t>
      </w:r>
    </w:p>
    <w:p w14:paraId="6351AFA6" w14:textId="6945E5A1" w:rsidR="009D6F58" w:rsidRPr="008950A6" w:rsidRDefault="009D6F58" w:rsidP="009D6F58">
      <w:pPr>
        <w:pStyle w:val="Odstavecseseznamem"/>
        <w:numPr>
          <w:ilvl w:val="0"/>
          <w:numId w:val="35"/>
        </w:numPr>
        <w:tabs>
          <w:tab w:val="left" w:pos="375"/>
        </w:tabs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 xml:space="preserve">budou se aktivně účastnit procesu rekonstrukce a revitalizace </w:t>
      </w:r>
      <w:proofErr w:type="spellStart"/>
      <w:r w:rsidRPr="008950A6">
        <w:rPr>
          <w:sz w:val="24"/>
          <w:szCs w:val="24"/>
          <w:lang w:val="cs-CZ"/>
        </w:rPr>
        <w:t>Fallůdži</w:t>
      </w:r>
      <w:proofErr w:type="spellEnd"/>
      <w:r w:rsidRPr="008950A6">
        <w:rPr>
          <w:sz w:val="24"/>
          <w:szCs w:val="24"/>
          <w:lang w:val="cs-CZ"/>
        </w:rPr>
        <w:t xml:space="preserve">, a </w:t>
      </w:r>
    </w:p>
    <w:p w14:paraId="24804E3B" w14:textId="38C8F5D0" w:rsidR="009D6F58" w:rsidRPr="008950A6" w:rsidRDefault="009D6F58" w:rsidP="009D6F58">
      <w:pPr>
        <w:pStyle w:val="Odstavecseseznamem"/>
        <w:numPr>
          <w:ilvl w:val="0"/>
          <w:numId w:val="35"/>
        </w:numPr>
        <w:tabs>
          <w:tab w:val="left" w:pos="375"/>
        </w:tabs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 xml:space="preserve">poskytnou prostředky k zmírnění humanitárních důsledků války s takzvaným Islámským státem. </w:t>
      </w:r>
    </w:p>
    <w:p w14:paraId="6B7E6D16" w14:textId="3D0286E0" w:rsidR="009D6F58" w:rsidRPr="008950A6" w:rsidRDefault="006B0A70" w:rsidP="009D6F58">
      <w:pPr>
        <w:tabs>
          <w:tab w:val="left" w:pos="375"/>
        </w:tabs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402</w:t>
      </w:r>
      <w:r w:rsidR="00277DDB" w:rsidRPr="008950A6">
        <w:rPr>
          <w:b/>
          <w:sz w:val="24"/>
          <w:szCs w:val="24"/>
          <w:lang w:val="cs-CZ"/>
        </w:rPr>
        <w:t xml:space="preserve">. </w:t>
      </w:r>
    </w:p>
    <w:p w14:paraId="6FB58827" w14:textId="4E2D7421" w:rsidR="009D6F58" w:rsidRPr="008950A6" w:rsidRDefault="00277DDB" w:rsidP="00355534">
      <w:pPr>
        <w:tabs>
          <w:tab w:val="left" w:pos="375"/>
        </w:tabs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>Finanční prostředky vyčleněné na činnosti po</w:t>
      </w:r>
      <w:r w:rsidR="008950A6" w:rsidRPr="008950A6">
        <w:rPr>
          <w:sz w:val="24"/>
          <w:szCs w:val="24"/>
          <w:lang w:val="cs-CZ"/>
        </w:rPr>
        <w:t>dle paragrafu 401 nepřesáhnou v souhrnu za fiskální roky</w:t>
      </w:r>
      <w:r w:rsidRPr="008950A6">
        <w:rPr>
          <w:sz w:val="24"/>
          <w:szCs w:val="24"/>
          <w:lang w:val="cs-CZ"/>
        </w:rPr>
        <w:t xml:space="preserve"> 2</w:t>
      </w:r>
      <w:r w:rsidR="008950A6" w:rsidRPr="008950A6">
        <w:rPr>
          <w:sz w:val="24"/>
          <w:szCs w:val="24"/>
          <w:lang w:val="cs-CZ"/>
        </w:rPr>
        <w:t xml:space="preserve">019-2022 částku </w:t>
      </w:r>
      <w:r w:rsidR="00BB59BB">
        <w:rPr>
          <w:sz w:val="24"/>
          <w:szCs w:val="24"/>
          <w:lang w:val="cs-CZ"/>
        </w:rPr>
        <w:t>1,5</w:t>
      </w:r>
      <w:r w:rsidR="008950A6" w:rsidRPr="008950A6">
        <w:rPr>
          <w:sz w:val="24"/>
          <w:szCs w:val="24"/>
          <w:lang w:val="cs-CZ"/>
        </w:rPr>
        <w:t xml:space="preserve"> miliard dolarů. </w:t>
      </w:r>
    </w:p>
    <w:p w14:paraId="10A4CD83" w14:textId="63463998" w:rsidR="00B81D97" w:rsidRPr="008950A6" w:rsidRDefault="00277DDB" w:rsidP="00355534">
      <w:pPr>
        <w:jc w:val="center"/>
        <w:rPr>
          <w:b/>
          <w:sz w:val="24"/>
          <w:szCs w:val="24"/>
          <w:lang w:val="cs-CZ"/>
        </w:rPr>
      </w:pPr>
      <w:r w:rsidRPr="008950A6">
        <w:rPr>
          <w:b/>
          <w:sz w:val="24"/>
          <w:szCs w:val="24"/>
          <w:lang w:val="cs-CZ"/>
        </w:rPr>
        <w:t xml:space="preserve">Hlava </w:t>
      </w:r>
      <w:r w:rsidR="00D71654" w:rsidRPr="008950A6">
        <w:rPr>
          <w:b/>
          <w:sz w:val="24"/>
          <w:szCs w:val="24"/>
          <w:lang w:val="cs-CZ"/>
        </w:rPr>
        <w:t>V</w:t>
      </w:r>
      <w:r w:rsidR="00355534" w:rsidRPr="008950A6">
        <w:rPr>
          <w:b/>
          <w:sz w:val="24"/>
          <w:szCs w:val="24"/>
          <w:lang w:val="cs-CZ"/>
        </w:rPr>
        <w:t xml:space="preserve"> – </w:t>
      </w:r>
      <w:r w:rsidRPr="008950A6">
        <w:rPr>
          <w:b/>
          <w:sz w:val="24"/>
          <w:szCs w:val="24"/>
          <w:lang w:val="cs-CZ"/>
        </w:rPr>
        <w:t>Jordánsko</w:t>
      </w:r>
      <w:r w:rsidR="00355534" w:rsidRPr="008950A6">
        <w:rPr>
          <w:b/>
          <w:sz w:val="24"/>
          <w:szCs w:val="24"/>
          <w:lang w:val="cs-CZ"/>
        </w:rPr>
        <w:t xml:space="preserve"> </w:t>
      </w:r>
    </w:p>
    <w:p w14:paraId="7C4993C3" w14:textId="1AB9CAD8" w:rsidR="00E75DEC" w:rsidRPr="008950A6" w:rsidRDefault="00277DDB" w:rsidP="00355534">
      <w:pPr>
        <w:rPr>
          <w:b/>
          <w:sz w:val="24"/>
          <w:szCs w:val="24"/>
          <w:lang w:val="cs-CZ"/>
        </w:rPr>
      </w:pPr>
      <w:r w:rsidRPr="008950A6">
        <w:rPr>
          <w:b/>
          <w:sz w:val="24"/>
          <w:szCs w:val="24"/>
          <w:lang w:val="cs-CZ"/>
        </w:rPr>
        <w:t>Par. 5</w:t>
      </w:r>
      <w:r w:rsidR="00355534" w:rsidRPr="008950A6">
        <w:rPr>
          <w:b/>
          <w:sz w:val="24"/>
          <w:szCs w:val="24"/>
          <w:lang w:val="cs-CZ"/>
        </w:rPr>
        <w:t xml:space="preserve">01. </w:t>
      </w:r>
    </w:p>
    <w:p w14:paraId="700DF795" w14:textId="778F26E8" w:rsidR="00277DDB" w:rsidRPr="008950A6" w:rsidRDefault="008950A6" w:rsidP="008950A6">
      <w:pPr>
        <w:pStyle w:val="Nadpis1"/>
        <w:spacing w:before="240" w:after="240"/>
        <w:jc w:val="left"/>
        <w:rPr>
          <w:rFonts w:ascii="Times New Roman" w:hAnsi="Times New Roman" w:cs="Times New Roman"/>
          <w:b w:val="0"/>
        </w:rPr>
      </w:pPr>
      <w:r w:rsidRPr="008950A6">
        <w:rPr>
          <w:rFonts w:ascii="Times New Roman" w:hAnsi="Times New Roman" w:cs="Times New Roman"/>
          <w:b w:val="0"/>
        </w:rPr>
        <w:t xml:space="preserve">Spojené státy budou nadále podporovat Jordánsko jakožto jednoho z klíčových spojenců v oblasti. Za tímto účelem dojde pro fiskální rok 2019 k navýšení vojenské a finanční pomoci Jordánsku o 20 milionů dolarů. </w:t>
      </w:r>
    </w:p>
    <w:p w14:paraId="43B7E209" w14:textId="37B55134" w:rsidR="008950A6" w:rsidRPr="008950A6" w:rsidRDefault="008950A6" w:rsidP="008950A6">
      <w:pPr>
        <w:jc w:val="center"/>
        <w:rPr>
          <w:b/>
          <w:sz w:val="24"/>
          <w:szCs w:val="24"/>
          <w:lang w:val="cs-CZ"/>
        </w:rPr>
      </w:pPr>
      <w:r w:rsidRPr="008950A6">
        <w:rPr>
          <w:b/>
          <w:sz w:val="24"/>
          <w:szCs w:val="24"/>
          <w:lang w:val="cs-CZ"/>
        </w:rPr>
        <w:t>Hlava VI – Afghánistán</w:t>
      </w:r>
    </w:p>
    <w:p w14:paraId="214E229D" w14:textId="2FF37A74" w:rsidR="008950A6" w:rsidRDefault="008950A6" w:rsidP="008950A6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601.</w:t>
      </w:r>
      <w:r w:rsidR="00BB59BB">
        <w:rPr>
          <w:b/>
          <w:sz w:val="24"/>
          <w:szCs w:val="24"/>
          <w:lang w:val="cs-CZ"/>
        </w:rPr>
        <w:t xml:space="preserve"> </w:t>
      </w:r>
    </w:p>
    <w:p w14:paraId="5FC8A875" w14:textId="093C1DA4" w:rsidR="00BB59BB" w:rsidRDefault="00BB59BB" w:rsidP="00BB59BB">
      <w:pPr>
        <w:pStyle w:val="Odstavecseseznamem"/>
        <w:numPr>
          <w:ilvl w:val="0"/>
          <w:numId w:val="38"/>
        </w:numPr>
        <w:rPr>
          <w:sz w:val="24"/>
          <w:szCs w:val="24"/>
          <w:lang w:val="cs-CZ"/>
        </w:rPr>
      </w:pPr>
      <w:r w:rsidRPr="00BB59BB">
        <w:rPr>
          <w:sz w:val="24"/>
          <w:szCs w:val="24"/>
          <w:lang w:val="cs-CZ"/>
        </w:rPr>
        <w:t xml:space="preserve">Spojené státy poskytnou Afghánistánu finanční podporu za účelem dokončení dálničního systému Ring </w:t>
      </w:r>
      <w:proofErr w:type="spellStart"/>
      <w:r w:rsidRPr="00BB59BB">
        <w:rPr>
          <w:sz w:val="24"/>
          <w:szCs w:val="24"/>
          <w:lang w:val="cs-CZ"/>
        </w:rPr>
        <w:t>Road</w:t>
      </w:r>
      <w:proofErr w:type="spellEnd"/>
      <w:r w:rsidRPr="00BB59BB">
        <w:rPr>
          <w:sz w:val="24"/>
          <w:szCs w:val="24"/>
          <w:lang w:val="cs-CZ"/>
        </w:rPr>
        <w:t xml:space="preserve">. </w:t>
      </w:r>
    </w:p>
    <w:p w14:paraId="06E47E55" w14:textId="394B259A" w:rsidR="00860B15" w:rsidRDefault="00BB59BB" w:rsidP="00935ECE">
      <w:pPr>
        <w:pStyle w:val="Odstavecseseznamem"/>
        <w:numPr>
          <w:ilvl w:val="0"/>
          <w:numId w:val="38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Výše finanční podpory bu</w:t>
      </w:r>
      <w:bookmarkStart w:id="0" w:name="_GoBack"/>
      <w:bookmarkEnd w:id="0"/>
      <w:r>
        <w:rPr>
          <w:sz w:val="24"/>
          <w:szCs w:val="24"/>
          <w:lang w:val="cs-CZ"/>
        </w:rPr>
        <w:t>de činit 350 milionů dolarů v souhrnu za fiskální roky 2019-2022.</w:t>
      </w:r>
    </w:p>
    <w:p w14:paraId="09A3F5E2" w14:textId="5E27AB87" w:rsidR="00935ECE" w:rsidRPr="00935ECE" w:rsidRDefault="00935ECE" w:rsidP="00935ECE">
      <w:pPr>
        <w:pStyle w:val="Odstavecseseznamem"/>
        <w:jc w:val="center"/>
        <w:rPr>
          <w:b/>
          <w:sz w:val="24"/>
          <w:szCs w:val="24"/>
          <w:lang w:val="cs-CZ"/>
        </w:rPr>
      </w:pPr>
      <w:r w:rsidRPr="00935ECE">
        <w:rPr>
          <w:b/>
          <w:sz w:val="24"/>
          <w:szCs w:val="24"/>
          <w:lang w:val="cs-CZ"/>
        </w:rPr>
        <w:t>Hlava VII – Kulturní dědictví</w:t>
      </w:r>
    </w:p>
    <w:p w14:paraId="751CFAE9" w14:textId="26D9CEDB" w:rsidR="00935ECE" w:rsidRDefault="00935ECE" w:rsidP="00935ECE">
      <w:pPr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Pr="00935ECE">
        <w:rPr>
          <w:b/>
          <w:sz w:val="24"/>
          <w:szCs w:val="24"/>
          <w:lang w:val="cs-CZ"/>
        </w:rPr>
        <w:t xml:space="preserve">Par. 701. </w:t>
      </w:r>
    </w:p>
    <w:p w14:paraId="7DF96F58" w14:textId="7D9C4340" w:rsidR="00935ECE" w:rsidRPr="00935ECE" w:rsidRDefault="00935ECE" w:rsidP="00935EC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Spojené státy vyčlení v souhrnu za fiskální roky 2019-2022 celkem 200 milionů dolarů na ochranu a obnovu předmětů kulturního dědictví v oblasti Blízkého východu. </w:t>
      </w:r>
    </w:p>
    <w:p w14:paraId="4B948E8B" w14:textId="7E6DC226" w:rsidR="00860B15" w:rsidRPr="008950A6" w:rsidRDefault="00860B15" w:rsidP="00860B15">
      <w:pPr>
        <w:jc w:val="center"/>
        <w:rPr>
          <w:b/>
          <w:sz w:val="24"/>
          <w:szCs w:val="24"/>
          <w:lang w:val="cs-CZ"/>
        </w:rPr>
      </w:pPr>
      <w:r w:rsidRPr="008950A6">
        <w:rPr>
          <w:b/>
          <w:sz w:val="24"/>
          <w:szCs w:val="24"/>
          <w:lang w:val="cs-CZ"/>
        </w:rPr>
        <w:t>Hlava VI</w:t>
      </w:r>
      <w:r w:rsidR="006B0A70">
        <w:rPr>
          <w:b/>
          <w:sz w:val="24"/>
          <w:szCs w:val="24"/>
          <w:lang w:val="cs-CZ"/>
        </w:rPr>
        <w:t>I</w:t>
      </w:r>
      <w:r w:rsidR="00935ECE">
        <w:rPr>
          <w:b/>
          <w:sz w:val="24"/>
          <w:szCs w:val="24"/>
          <w:lang w:val="cs-CZ"/>
        </w:rPr>
        <w:t>I</w:t>
      </w:r>
      <w:r w:rsidRPr="008950A6">
        <w:rPr>
          <w:b/>
          <w:sz w:val="24"/>
          <w:szCs w:val="24"/>
          <w:lang w:val="cs-CZ"/>
        </w:rPr>
        <w:t xml:space="preserve"> – Fond obnovy Blízkého východu</w:t>
      </w:r>
    </w:p>
    <w:p w14:paraId="4DA3DAF2" w14:textId="73005CAA" w:rsidR="00860B15" w:rsidRPr="008950A6" w:rsidRDefault="00935ECE" w:rsidP="00860B15">
      <w:pPr>
        <w:tabs>
          <w:tab w:val="left" w:pos="360"/>
        </w:tabs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 xml:space="preserve">  Par. 8</w:t>
      </w:r>
      <w:r w:rsidR="00860B15" w:rsidRPr="008950A6">
        <w:rPr>
          <w:b/>
          <w:sz w:val="24"/>
          <w:szCs w:val="24"/>
          <w:lang w:val="cs-CZ"/>
        </w:rPr>
        <w:t xml:space="preserve">01. </w:t>
      </w:r>
    </w:p>
    <w:p w14:paraId="31F4B260" w14:textId="1379AF06" w:rsidR="00860B15" w:rsidRPr="008950A6" w:rsidRDefault="00860B15" w:rsidP="00860B15">
      <w:pPr>
        <w:pStyle w:val="Odstavecseseznamem"/>
        <w:numPr>
          <w:ilvl w:val="0"/>
          <w:numId w:val="36"/>
        </w:numPr>
        <w:tabs>
          <w:tab w:val="left" w:pos="360"/>
        </w:tabs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>K financování aktivit podle tohoto zákona se zřizuj</w:t>
      </w:r>
      <w:r w:rsidR="00C31246" w:rsidRPr="008950A6">
        <w:rPr>
          <w:sz w:val="24"/>
          <w:szCs w:val="24"/>
          <w:lang w:val="cs-CZ"/>
        </w:rPr>
        <w:t xml:space="preserve">e Fond obnovy Blízkého východu (dále jen „Fond“). </w:t>
      </w:r>
    </w:p>
    <w:p w14:paraId="62F0264A" w14:textId="50CEAE57" w:rsidR="00860B15" w:rsidRPr="008950A6" w:rsidRDefault="00860B15" w:rsidP="00860B15">
      <w:pPr>
        <w:pStyle w:val="Odstavecseseznamem"/>
        <w:numPr>
          <w:ilvl w:val="0"/>
          <w:numId w:val="36"/>
        </w:numPr>
        <w:tabs>
          <w:tab w:val="left" w:pos="360"/>
        </w:tabs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 xml:space="preserve">Správcem fondu </w:t>
      </w:r>
      <w:r w:rsidR="00C31246" w:rsidRPr="008950A6">
        <w:rPr>
          <w:sz w:val="24"/>
          <w:szCs w:val="24"/>
          <w:lang w:val="cs-CZ"/>
        </w:rPr>
        <w:t xml:space="preserve">je agentura USAID  </w:t>
      </w:r>
    </w:p>
    <w:p w14:paraId="0E1182AC" w14:textId="6FD2B8FA" w:rsidR="00C31246" w:rsidRPr="008950A6" w:rsidRDefault="00C31246" w:rsidP="00860B15">
      <w:pPr>
        <w:pStyle w:val="Odstavecseseznamem"/>
        <w:numPr>
          <w:ilvl w:val="0"/>
          <w:numId w:val="36"/>
        </w:numPr>
        <w:tabs>
          <w:tab w:val="left" w:pos="360"/>
        </w:tabs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 xml:space="preserve">Příjmy fondu jsou tvořeny příspěvky z rozpočtů Ministerstva zahraničí a Ministerstva obrany. Poměr příspěvků jednotlivých přispěvatelů a celkový rozpočet fondu určí prezident exekutivním nařízením, tak, aby mohl Fond dostatečně financovat aktivity dle tohoto zákona. </w:t>
      </w:r>
    </w:p>
    <w:p w14:paraId="4EAF88D5" w14:textId="024704DE" w:rsidR="00C31246" w:rsidRPr="008950A6" w:rsidRDefault="00C31246" w:rsidP="00860B15">
      <w:pPr>
        <w:pStyle w:val="Odstavecseseznamem"/>
        <w:numPr>
          <w:ilvl w:val="0"/>
          <w:numId w:val="36"/>
        </w:numPr>
        <w:tabs>
          <w:tab w:val="left" w:pos="360"/>
        </w:tabs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 xml:space="preserve">Pro použití prostředků z Fondu se přiměřeně použijí stávající pravidla o poskytování zahraniční pomoci. </w:t>
      </w:r>
    </w:p>
    <w:p w14:paraId="7A24C8A0" w14:textId="14B2C4C3" w:rsidR="00CA4A43" w:rsidRPr="008950A6" w:rsidRDefault="00935ECE" w:rsidP="00651695">
      <w:pPr>
        <w:pStyle w:val="Nadpis1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Hlava IX</w:t>
      </w:r>
      <w:r w:rsidR="00705D29" w:rsidRPr="008950A6">
        <w:rPr>
          <w:rFonts w:ascii="Times New Roman" w:hAnsi="Times New Roman" w:cs="Times New Roman"/>
        </w:rPr>
        <w:t xml:space="preserve"> - </w:t>
      </w:r>
      <w:r w:rsidR="6F797ABA" w:rsidRPr="008950A6">
        <w:rPr>
          <w:rFonts w:ascii="Times New Roman" w:hAnsi="Times New Roman" w:cs="Times New Roman"/>
        </w:rPr>
        <w:t>Závěrečné ustanovení</w:t>
      </w:r>
    </w:p>
    <w:p w14:paraId="7208C241" w14:textId="0774CAC1" w:rsidR="0038657B" w:rsidRPr="008950A6" w:rsidRDefault="00935ECE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9</w:t>
      </w:r>
      <w:r w:rsidR="00705D29" w:rsidRPr="008950A6">
        <w:rPr>
          <w:b/>
          <w:sz w:val="24"/>
          <w:szCs w:val="24"/>
          <w:lang w:val="cs-CZ"/>
        </w:rPr>
        <w:t>01. Účinnost.</w:t>
      </w:r>
    </w:p>
    <w:p w14:paraId="75EA4CC4" w14:textId="38333B4A" w:rsidR="00816969" w:rsidRPr="008950A6" w:rsidRDefault="00670CF8" w:rsidP="00D71654">
      <w:pPr>
        <w:spacing w:after="120" w:line="360" w:lineRule="auto"/>
        <w:jc w:val="both"/>
        <w:rPr>
          <w:sz w:val="24"/>
          <w:szCs w:val="24"/>
          <w:lang w:val="cs-CZ"/>
        </w:rPr>
      </w:pPr>
      <w:r w:rsidRPr="008950A6">
        <w:rPr>
          <w:sz w:val="24"/>
          <w:szCs w:val="24"/>
          <w:lang w:val="cs-CZ"/>
        </w:rPr>
        <w:t xml:space="preserve">Tento zákon nabývá účinnosti 1. 1. 2019. </w:t>
      </w:r>
    </w:p>
    <w:sectPr w:rsidR="00816969" w:rsidRPr="008950A6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56043" w14:textId="77777777" w:rsidR="00334AD2" w:rsidRDefault="00334AD2" w:rsidP="00E14C9D">
      <w:pPr>
        <w:spacing w:after="0" w:line="240" w:lineRule="auto"/>
      </w:pPr>
      <w:r>
        <w:separator/>
      </w:r>
    </w:p>
  </w:endnote>
  <w:endnote w:type="continuationSeparator" w:id="0">
    <w:p w14:paraId="24800872" w14:textId="77777777" w:rsidR="00334AD2" w:rsidRDefault="00334AD2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Mincho">
    <w:altName w:val="Yu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Zpat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7777777">
              <wp:simplePos x="0" y="0"/>
              <wp:positionH relativeFrom="column">
                <wp:posOffset>-911860</wp:posOffset>
              </wp:positionH>
              <wp:positionV relativeFrom="paragraph">
                <wp:posOffset>-156210</wp:posOffset>
              </wp:positionV>
              <wp:extent cx="7562850" cy="44767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5B43" w14:textId="67C2315B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Pro potřeby Čes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kého modelu amerického Kongresu </w:t>
                          </w:r>
                          <w:r w:rsidR="00FA3005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Jakub Lorenc</w:t>
                          </w:r>
                          <w:r w:rsidR="005648BA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.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br/>
                            <w:t>© CSDP 201</w:t>
                          </w:r>
                          <w:r w:rsidR="00295971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8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 – www.americkykongres.cz – 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americkykongres@americkykongres.cz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8pt;margin-top:-12.3pt;width:595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y7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" filled="f" stroked="f">
              <v:textbox>
                <w:txbxContent>
                  <w:p w14:paraId="4BAD5B43" w14:textId="67C2315B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Pro potřeby Čes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kého modelu amerického Kongresu </w:t>
                    </w:r>
                    <w:r w:rsidR="00FA3005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Jakub Lorenc</w:t>
                    </w:r>
                    <w:r w:rsidR="005648BA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.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br/>
                      <w:t>© CSDP 201</w:t>
                    </w:r>
                    <w:r w:rsidR="00295971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8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 – www.americkykongres.cz – 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americkykongres@americkykongres.cz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BF683" w14:textId="77777777" w:rsidR="00334AD2" w:rsidRDefault="00334AD2" w:rsidP="00E14C9D">
      <w:pPr>
        <w:spacing w:after="0" w:line="240" w:lineRule="auto"/>
      </w:pPr>
      <w:r>
        <w:separator/>
      </w:r>
    </w:p>
  </w:footnote>
  <w:footnote w:type="continuationSeparator" w:id="0">
    <w:p w14:paraId="7CC93C70" w14:textId="77777777" w:rsidR="00334AD2" w:rsidRDefault="00334AD2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Zhlav"/>
      <w:rPr>
        <w:noProof/>
        <w:lang w:val="cs-CZ" w:bidi="ar-SA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752" behindDoc="1" locked="0" layoutInCell="1" allowOverlap="1" wp14:anchorId="13E1130F" wp14:editId="0E267867">
          <wp:simplePos x="0" y="0"/>
          <wp:positionH relativeFrom="page">
            <wp:align>right</wp:align>
          </wp:positionH>
          <wp:positionV relativeFrom="margin">
            <wp:posOffset>-1449070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Zhlav"/>
      <w:rPr>
        <w:noProof/>
        <w:lang w:val="cs-CZ" w:bidi="ar-SA"/>
      </w:rPr>
    </w:pPr>
  </w:p>
  <w:p w14:paraId="3995E6F3" w14:textId="77777777" w:rsidR="00FB51A4" w:rsidRDefault="00FB51A4" w:rsidP="00C30C46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3E60"/>
    <w:multiLevelType w:val="hybridMultilevel"/>
    <w:tmpl w:val="52BAFC5C"/>
    <w:lvl w:ilvl="0" w:tplc="7E921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3" w15:restartNumberingAfterBreak="0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41A3380"/>
    <w:multiLevelType w:val="hybridMultilevel"/>
    <w:tmpl w:val="FA04F8D6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898"/>
    <w:multiLevelType w:val="hybridMultilevel"/>
    <w:tmpl w:val="ACCA2B96"/>
    <w:lvl w:ilvl="0" w:tplc="A26EE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163E4"/>
    <w:multiLevelType w:val="hybridMultilevel"/>
    <w:tmpl w:val="BF40783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C01B87"/>
    <w:multiLevelType w:val="hybridMultilevel"/>
    <w:tmpl w:val="43EE6956"/>
    <w:lvl w:ilvl="0" w:tplc="F604A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24420"/>
    <w:multiLevelType w:val="hybridMultilevel"/>
    <w:tmpl w:val="C9E86C4A"/>
    <w:lvl w:ilvl="0" w:tplc="66729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30563"/>
    <w:multiLevelType w:val="hybridMultilevel"/>
    <w:tmpl w:val="D4BE1706"/>
    <w:lvl w:ilvl="0" w:tplc="84D67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B2E6F"/>
    <w:multiLevelType w:val="hybridMultilevel"/>
    <w:tmpl w:val="20E074FE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92CDB"/>
    <w:multiLevelType w:val="hybridMultilevel"/>
    <w:tmpl w:val="D2B2B6E2"/>
    <w:lvl w:ilvl="0" w:tplc="D74CF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04AE7"/>
    <w:multiLevelType w:val="hybridMultilevel"/>
    <w:tmpl w:val="9B826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F0631"/>
    <w:multiLevelType w:val="hybridMultilevel"/>
    <w:tmpl w:val="25F0B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98481D"/>
    <w:multiLevelType w:val="hybridMultilevel"/>
    <w:tmpl w:val="20E074FE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842A2"/>
    <w:multiLevelType w:val="hybridMultilevel"/>
    <w:tmpl w:val="3438AD5C"/>
    <w:lvl w:ilvl="0" w:tplc="17DCB9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31737"/>
    <w:multiLevelType w:val="hybridMultilevel"/>
    <w:tmpl w:val="36DC2494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F3F37"/>
    <w:multiLevelType w:val="hybridMultilevel"/>
    <w:tmpl w:val="03807DB4"/>
    <w:lvl w:ilvl="0" w:tplc="55A870F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F2B5B"/>
    <w:multiLevelType w:val="hybridMultilevel"/>
    <w:tmpl w:val="7CAA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56CD1"/>
    <w:multiLevelType w:val="hybridMultilevel"/>
    <w:tmpl w:val="A2A05B50"/>
    <w:lvl w:ilvl="0" w:tplc="009E24BC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F70D6"/>
    <w:multiLevelType w:val="hybridMultilevel"/>
    <w:tmpl w:val="0FA2F5E4"/>
    <w:lvl w:ilvl="0" w:tplc="A63A7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7"/>
  </w:num>
  <w:num w:numId="4">
    <w:abstractNumId w:val="9"/>
  </w:num>
  <w:num w:numId="5">
    <w:abstractNumId w:val="25"/>
  </w:num>
  <w:num w:numId="6">
    <w:abstractNumId w:val="6"/>
  </w:num>
  <w:num w:numId="7">
    <w:abstractNumId w:val="12"/>
  </w:num>
  <w:num w:numId="8">
    <w:abstractNumId w:val="29"/>
  </w:num>
  <w:num w:numId="9">
    <w:abstractNumId w:val="28"/>
  </w:num>
  <w:num w:numId="10">
    <w:abstractNumId w:val="14"/>
  </w:num>
  <w:num w:numId="11">
    <w:abstractNumId w:val="0"/>
  </w:num>
  <w:num w:numId="12">
    <w:abstractNumId w:val="30"/>
  </w:num>
  <w:num w:numId="13">
    <w:abstractNumId w:val="3"/>
  </w:num>
  <w:num w:numId="14">
    <w:abstractNumId w:val="4"/>
  </w:num>
  <w:num w:numId="15">
    <w:abstractNumId w:val="18"/>
  </w:num>
  <w:num w:numId="16">
    <w:abstractNumId w:val="20"/>
  </w:num>
  <w:num w:numId="17">
    <w:abstractNumId w:val="10"/>
  </w:num>
  <w:num w:numId="18">
    <w:abstractNumId w:val="2"/>
  </w:num>
  <w:num w:numId="19">
    <w:abstractNumId w:val="15"/>
  </w:num>
  <w:num w:numId="20">
    <w:abstractNumId w:val="11"/>
  </w:num>
  <w:num w:numId="21">
    <w:abstractNumId w:val="35"/>
  </w:num>
  <w:num w:numId="22">
    <w:abstractNumId w:val="24"/>
  </w:num>
  <w:num w:numId="23">
    <w:abstractNumId w:val="21"/>
  </w:num>
  <w:num w:numId="24">
    <w:abstractNumId w:val="34"/>
  </w:num>
  <w:num w:numId="25">
    <w:abstractNumId w:val="23"/>
  </w:num>
  <w:num w:numId="26">
    <w:abstractNumId w:val="7"/>
  </w:num>
  <w:num w:numId="27">
    <w:abstractNumId w:val="22"/>
  </w:num>
  <w:num w:numId="28">
    <w:abstractNumId w:val="36"/>
  </w:num>
  <w:num w:numId="29">
    <w:abstractNumId w:val="1"/>
  </w:num>
  <w:num w:numId="30">
    <w:abstractNumId w:val="26"/>
  </w:num>
  <w:num w:numId="31">
    <w:abstractNumId w:val="31"/>
  </w:num>
  <w:num w:numId="32">
    <w:abstractNumId w:val="33"/>
  </w:num>
  <w:num w:numId="33">
    <w:abstractNumId w:val="16"/>
  </w:num>
  <w:num w:numId="34">
    <w:abstractNumId w:val="17"/>
  </w:num>
  <w:num w:numId="35">
    <w:abstractNumId w:val="8"/>
  </w:num>
  <w:num w:numId="36">
    <w:abstractNumId w:val="32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45B4D"/>
    <w:rsid w:val="00047B7E"/>
    <w:rsid w:val="00050369"/>
    <w:rsid w:val="000727D3"/>
    <w:rsid w:val="0008036F"/>
    <w:rsid w:val="00086807"/>
    <w:rsid w:val="00090937"/>
    <w:rsid w:val="00090F83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B92"/>
    <w:rsid w:val="000E5143"/>
    <w:rsid w:val="00122771"/>
    <w:rsid w:val="0015528C"/>
    <w:rsid w:val="00170529"/>
    <w:rsid w:val="001754C6"/>
    <w:rsid w:val="00190E0B"/>
    <w:rsid w:val="001A3ABF"/>
    <w:rsid w:val="001A67D3"/>
    <w:rsid w:val="001B3769"/>
    <w:rsid w:val="001B3DB7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33B98"/>
    <w:rsid w:val="00234FBA"/>
    <w:rsid w:val="00240289"/>
    <w:rsid w:val="002403A0"/>
    <w:rsid w:val="00261737"/>
    <w:rsid w:val="00262BAA"/>
    <w:rsid w:val="00263378"/>
    <w:rsid w:val="00277DDB"/>
    <w:rsid w:val="00280FA0"/>
    <w:rsid w:val="00292AB0"/>
    <w:rsid w:val="00294D79"/>
    <w:rsid w:val="0029532F"/>
    <w:rsid w:val="00295971"/>
    <w:rsid w:val="002B1ABA"/>
    <w:rsid w:val="002B2130"/>
    <w:rsid w:val="002B4D65"/>
    <w:rsid w:val="002B6AD3"/>
    <w:rsid w:val="002C2A54"/>
    <w:rsid w:val="002D5948"/>
    <w:rsid w:val="002E1130"/>
    <w:rsid w:val="002E5E96"/>
    <w:rsid w:val="002F4E94"/>
    <w:rsid w:val="002F69A8"/>
    <w:rsid w:val="00301A8F"/>
    <w:rsid w:val="003124E1"/>
    <w:rsid w:val="00332527"/>
    <w:rsid w:val="00334AD2"/>
    <w:rsid w:val="00337209"/>
    <w:rsid w:val="00347CF5"/>
    <w:rsid w:val="003548C2"/>
    <w:rsid w:val="00355534"/>
    <w:rsid w:val="00355D3D"/>
    <w:rsid w:val="0035741A"/>
    <w:rsid w:val="0036225B"/>
    <w:rsid w:val="003705C7"/>
    <w:rsid w:val="00370696"/>
    <w:rsid w:val="003819EA"/>
    <w:rsid w:val="00383BF3"/>
    <w:rsid w:val="0038657B"/>
    <w:rsid w:val="0039345D"/>
    <w:rsid w:val="003942E6"/>
    <w:rsid w:val="0039705D"/>
    <w:rsid w:val="003A7812"/>
    <w:rsid w:val="003C022A"/>
    <w:rsid w:val="003C0346"/>
    <w:rsid w:val="003C19EB"/>
    <w:rsid w:val="003C6980"/>
    <w:rsid w:val="003C7E19"/>
    <w:rsid w:val="003D42A8"/>
    <w:rsid w:val="003D74ED"/>
    <w:rsid w:val="003E1752"/>
    <w:rsid w:val="003E2968"/>
    <w:rsid w:val="003E5F4F"/>
    <w:rsid w:val="003F1345"/>
    <w:rsid w:val="003F435B"/>
    <w:rsid w:val="003F51A6"/>
    <w:rsid w:val="003F7CEE"/>
    <w:rsid w:val="004012CA"/>
    <w:rsid w:val="004200B8"/>
    <w:rsid w:val="00420142"/>
    <w:rsid w:val="00422329"/>
    <w:rsid w:val="004333CE"/>
    <w:rsid w:val="00442F4E"/>
    <w:rsid w:val="00454B82"/>
    <w:rsid w:val="004643FB"/>
    <w:rsid w:val="004675FC"/>
    <w:rsid w:val="004713F2"/>
    <w:rsid w:val="00471934"/>
    <w:rsid w:val="0049162D"/>
    <w:rsid w:val="00495F8A"/>
    <w:rsid w:val="004A2408"/>
    <w:rsid w:val="004A38FE"/>
    <w:rsid w:val="004A6CB8"/>
    <w:rsid w:val="004B7EDD"/>
    <w:rsid w:val="004C1258"/>
    <w:rsid w:val="004F0334"/>
    <w:rsid w:val="004F0C55"/>
    <w:rsid w:val="004F32E4"/>
    <w:rsid w:val="004F4821"/>
    <w:rsid w:val="004F4C00"/>
    <w:rsid w:val="004F5300"/>
    <w:rsid w:val="004F6633"/>
    <w:rsid w:val="00503927"/>
    <w:rsid w:val="00514328"/>
    <w:rsid w:val="00524B23"/>
    <w:rsid w:val="00533369"/>
    <w:rsid w:val="00536528"/>
    <w:rsid w:val="005368AB"/>
    <w:rsid w:val="00540322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8093B"/>
    <w:rsid w:val="00594CBF"/>
    <w:rsid w:val="00595C1B"/>
    <w:rsid w:val="005A13AF"/>
    <w:rsid w:val="005A2032"/>
    <w:rsid w:val="005A5CA7"/>
    <w:rsid w:val="005B259A"/>
    <w:rsid w:val="005C4C43"/>
    <w:rsid w:val="005E3299"/>
    <w:rsid w:val="006108CA"/>
    <w:rsid w:val="00613761"/>
    <w:rsid w:val="00616736"/>
    <w:rsid w:val="00617946"/>
    <w:rsid w:val="0063213D"/>
    <w:rsid w:val="006364B4"/>
    <w:rsid w:val="00641104"/>
    <w:rsid w:val="006457BF"/>
    <w:rsid w:val="00651695"/>
    <w:rsid w:val="00670CF8"/>
    <w:rsid w:val="0067306D"/>
    <w:rsid w:val="006755AC"/>
    <w:rsid w:val="006841A9"/>
    <w:rsid w:val="00697CE6"/>
    <w:rsid w:val="006A6429"/>
    <w:rsid w:val="006B0A70"/>
    <w:rsid w:val="006B72F3"/>
    <w:rsid w:val="006C16F4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5527D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B7412"/>
    <w:rsid w:val="007C34A7"/>
    <w:rsid w:val="007C3E90"/>
    <w:rsid w:val="007C7F06"/>
    <w:rsid w:val="007D031D"/>
    <w:rsid w:val="007D0DB1"/>
    <w:rsid w:val="007D718F"/>
    <w:rsid w:val="007D7898"/>
    <w:rsid w:val="008079C2"/>
    <w:rsid w:val="008102EF"/>
    <w:rsid w:val="00816969"/>
    <w:rsid w:val="00835750"/>
    <w:rsid w:val="008454B8"/>
    <w:rsid w:val="008455DD"/>
    <w:rsid w:val="00852037"/>
    <w:rsid w:val="008558FD"/>
    <w:rsid w:val="00855FB6"/>
    <w:rsid w:val="00857F89"/>
    <w:rsid w:val="00860B15"/>
    <w:rsid w:val="00863CB7"/>
    <w:rsid w:val="008726C7"/>
    <w:rsid w:val="00894CA8"/>
    <w:rsid w:val="008950A6"/>
    <w:rsid w:val="008A1A15"/>
    <w:rsid w:val="008A6AD9"/>
    <w:rsid w:val="008B3E3B"/>
    <w:rsid w:val="008B53A8"/>
    <w:rsid w:val="008C1951"/>
    <w:rsid w:val="008C497B"/>
    <w:rsid w:val="008C499E"/>
    <w:rsid w:val="008E4DAD"/>
    <w:rsid w:val="008E7D8C"/>
    <w:rsid w:val="008F21F6"/>
    <w:rsid w:val="00901206"/>
    <w:rsid w:val="00905361"/>
    <w:rsid w:val="00906EFD"/>
    <w:rsid w:val="00910ABD"/>
    <w:rsid w:val="00911CD8"/>
    <w:rsid w:val="009149AB"/>
    <w:rsid w:val="00921290"/>
    <w:rsid w:val="00923D36"/>
    <w:rsid w:val="0092754B"/>
    <w:rsid w:val="00935ECE"/>
    <w:rsid w:val="00944CC9"/>
    <w:rsid w:val="0095694D"/>
    <w:rsid w:val="00966501"/>
    <w:rsid w:val="00967B85"/>
    <w:rsid w:val="00983590"/>
    <w:rsid w:val="00987BA5"/>
    <w:rsid w:val="009902D0"/>
    <w:rsid w:val="00992EA5"/>
    <w:rsid w:val="00993E79"/>
    <w:rsid w:val="0099410B"/>
    <w:rsid w:val="00996B08"/>
    <w:rsid w:val="009A2BF6"/>
    <w:rsid w:val="009A51B7"/>
    <w:rsid w:val="009A6511"/>
    <w:rsid w:val="009B49D5"/>
    <w:rsid w:val="009C476B"/>
    <w:rsid w:val="009D6F58"/>
    <w:rsid w:val="009D7776"/>
    <w:rsid w:val="009E553E"/>
    <w:rsid w:val="009E5947"/>
    <w:rsid w:val="009E776E"/>
    <w:rsid w:val="00A03253"/>
    <w:rsid w:val="00A11211"/>
    <w:rsid w:val="00A11A8A"/>
    <w:rsid w:val="00A1365D"/>
    <w:rsid w:val="00A17BE1"/>
    <w:rsid w:val="00A265EA"/>
    <w:rsid w:val="00A364B8"/>
    <w:rsid w:val="00A365DD"/>
    <w:rsid w:val="00A407A2"/>
    <w:rsid w:val="00A40E05"/>
    <w:rsid w:val="00A415D1"/>
    <w:rsid w:val="00A425A8"/>
    <w:rsid w:val="00A42DB9"/>
    <w:rsid w:val="00A449E8"/>
    <w:rsid w:val="00A506E3"/>
    <w:rsid w:val="00A5366F"/>
    <w:rsid w:val="00A53CB7"/>
    <w:rsid w:val="00A54EFD"/>
    <w:rsid w:val="00A757AE"/>
    <w:rsid w:val="00A779B2"/>
    <w:rsid w:val="00A846B3"/>
    <w:rsid w:val="00A9330F"/>
    <w:rsid w:val="00AA5381"/>
    <w:rsid w:val="00AB3571"/>
    <w:rsid w:val="00AC29AD"/>
    <w:rsid w:val="00AD0CF5"/>
    <w:rsid w:val="00AD26FD"/>
    <w:rsid w:val="00AD4F56"/>
    <w:rsid w:val="00AE47A7"/>
    <w:rsid w:val="00AE59F4"/>
    <w:rsid w:val="00AE6C80"/>
    <w:rsid w:val="00AF1064"/>
    <w:rsid w:val="00AF2748"/>
    <w:rsid w:val="00B05935"/>
    <w:rsid w:val="00B247FF"/>
    <w:rsid w:val="00B24C88"/>
    <w:rsid w:val="00B365D3"/>
    <w:rsid w:val="00B37B3F"/>
    <w:rsid w:val="00B51827"/>
    <w:rsid w:val="00B55141"/>
    <w:rsid w:val="00B65198"/>
    <w:rsid w:val="00B675C8"/>
    <w:rsid w:val="00B81D97"/>
    <w:rsid w:val="00B8634C"/>
    <w:rsid w:val="00B95E82"/>
    <w:rsid w:val="00BA1701"/>
    <w:rsid w:val="00BA7EC7"/>
    <w:rsid w:val="00BB3D7C"/>
    <w:rsid w:val="00BB59BB"/>
    <w:rsid w:val="00BB66F8"/>
    <w:rsid w:val="00BB6733"/>
    <w:rsid w:val="00BD50C3"/>
    <w:rsid w:val="00BD55BB"/>
    <w:rsid w:val="00BE26A4"/>
    <w:rsid w:val="00BF6410"/>
    <w:rsid w:val="00C00E92"/>
    <w:rsid w:val="00C24C0F"/>
    <w:rsid w:val="00C30C46"/>
    <w:rsid w:val="00C31246"/>
    <w:rsid w:val="00C341BE"/>
    <w:rsid w:val="00C36F5F"/>
    <w:rsid w:val="00C602EB"/>
    <w:rsid w:val="00C71137"/>
    <w:rsid w:val="00C72193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D01918"/>
    <w:rsid w:val="00D061A2"/>
    <w:rsid w:val="00D0761F"/>
    <w:rsid w:val="00D133DC"/>
    <w:rsid w:val="00D22E43"/>
    <w:rsid w:val="00D245DF"/>
    <w:rsid w:val="00D30F39"/>
    <w:rsid w:val="00D35CD6"/>
    <w:rsid w:val="00D41361"/>
    <w:rsid w:val="00D44148"/>
    <w:rsid w:val="00D657F3"/>
    <w:rsid w:val="00D71654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6E03"/>
    <w:rsid w:val="00E603CD"/>
    <w:rsid w:val="00E67010"/>
    <w:rsid w:val="00E75DEC"/>
    <w:rsid w:val="00E76756"/>
    <w:rsid w:val="00E8268F"/>
    <w:rsid w:val="00E82D16"/>
    <w:rsid w:val="00E867FB"/>
    <w:rsid w:val="00E919FF"/>
    <w:rsid w:val="00E92D39"/>
    <w:rsid w:val="00E92F34"/>
    <w:rsid w:val="00E94D70"/>
    <w:rsid w:val="00EA3932"/>
    <w:rsid w:val="00EA3EA4"/>
    <w:rsid w:val="00EA5C3A"/>
    <w:rsid w:val="00EB22E7"/>
    <w:rsid w:val="00EB2CB8"/>
    <w:rsid w:val="00EB766E"/>
    <w:rsid w:val="00EC04A3"/>
    <w:rsid w:val="00EC777A"/>
    <w:rsid w:val="00ED27D8"/>
    <w:rsid w:val="00EE521F"/>
    <w:rsid w:val="00EE7987"/>
    <w:rsid w:val="00EF2C28"/>
    <w:rsid w:val="00F366C0"/>
    <w:rsid w:val="00F37434"/>
    <w:rsid w:val="00F4225A"/>
    <w:rsid w:val="00F450CB"/>
    <w:rsid w:val="00F52752"/>
    <w:rsid w:val="00F73EC6"/>
    <w:rsid w:val="00F805CD"/>
    <w:rsid w:val="00F86F4E"/>
    <w:rsid w:val="00F93FD9"/>
    <w:rsid w:val="00FA1905"/>
    <w:rsid w:val="00FA3005"/>
    <w:rsid w:val="00FA40DF"/>
    <w:rsid w:val="00FA6D0B"/>
    <w:rsid w:val="00FB51A4"/>
    <w:rsid w:val="00FC386A"/>
    <w:rsid w:val="00FD28B5"/>
    <w:rsid w:val="00FD36CE"/>
    <w:rsid w:val="00FD4411"/>
    <w:rsid w:val="00FD6335"/>
    <w:rsid w:val="00FE2414"/>
    <w:rsid w:val="00FF2E98"/>
    <w:rsid w:val="00FF6D69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Nadpis1">
    <w:name w:val="heading 1"/>
    <w:basedOn w:val="Nadpis2"/>
    <w:next w:val="Normln"/>
    <w:link w:val="Nadpis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482D"/>
    <w:pPr>
      <w:keepNext/>
      <w:keepLines/>
      <w:spacing w:before="200" w:after="0"/>
      <w:outlineLvl w:val="1"/>
    </w:pPr>
    <w:rPr>
      <w:rFonts w:ascii="Helvetica" w:eastAsia="MS PGothic" w:hAnsi="Helvetic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  <w:sz w:val="20"/>
      <w:szCs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Nadpis2Char">
    <w:name w:val="Nadpis 2 Char"/>
    <w:link w:val="Nadpis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Nadpis3Char">
    <w:name w:val="Nadpis 3 Char"/>
    <w:link w:val="Nadpis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Nadpis6Char">
    <w:name w:val="Nadpis 6 Char"/>
    <w:link w:val="Nadpis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bidi="ar-SA"/>
    </w:rPr>
  </w:style>
  <w:style w:type="character" w:customStyle="1" w:styleId="NzevChar">
    <w:name w:val="Název Char"/>
    <w:link w:val="Nzev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Bezmezer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Odstavecseseznamem">
    <w:name w:val="List Paragraph"/>
    <w:basedOn w:val="Normln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0A1D1B"/>
    <w:rPr>
      <w:i/>
      <w:iCs/>
      <w:color w:val="808080"/>
    </w:rPr>
  </w:style>
  <w:style w:type="character" w:styleId="Zdraznnintenzivn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0A1D1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1D1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C9D"/>
  </w:style>
  <w:style w:type="paragraph" w:styleId="Zpat">
    <w:name w:val="footer"/>
    <w:basedOn w:val="Normln"/>
    <w:link w:val="Zpat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C9D"/>
  </w:style>
  <w:style w:type="paragraph" w:styleId="Normlnweb">
    <w:name w:val="Normal (Web)"/>
    <w:basedOn w:val="Normln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E603CD"/>
    <w:rPr>
      <w:color w:val="0000FF"/>
      <w:u w:val="single"/>
    </w:rPr>
  </w:style>
  <w:style w:type="table" w:styleId="Mkatabulky">
    <w:name w:val="Table Grid"/>
    <w:basedOn w:val="Normlntabulka"/>
    <w:uiPriority w:val="59"/>
    <w:rsid w:val="003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C698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94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17946"/>
    <w:rPr>
      <w:lang w:val="en-US" w:eastAsia="ja-JP" w:bidi="en-US"/>
    </w:rPr>
  </w:style>
  <w:style w:type="character" w:styleId="Znakapoznpodarou">
    <w:name w:val="footnote reference"/>
    <w:uiPriority w:val="99"/>
    <w:semiHidden/>
    <w:unhideWhenUsed/>
    <w:rsid w:val="0061794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TextvysvtlivekChar">
    <w:name w:val="Text vysvětlivek Char"/>
    <w:link w:val="Textvysvtlivek"/>
    <w:uiPriority w:val="99"/>
    <w:rsid w:val="00617946"/>
    <w:rPr>
      <w:rFonts w:ascii="Calibri" w:eastAsia="Calibri" w:hAnsi="Calibri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A846B3"/>
  </w:style>
  <w:style w:type="character" w:styleId="Odkaznakoment">
    <w:name w:val="annotation reference"/>
    <w:basedOn w:val="Standardnpsmoodstavce"/>
    <w:uiPriority w:val="99"/>
    <w:semiHidden/>
    <w:unhideWhenUsed/>
    <w:rsid w:val="00263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378"/>
    <w:rPr>
      <w:lang w:val="en-US" w:eastAsia="ja-JP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3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27A5A-D1AC-4EC6-986B-81BE97D91821}"/>
</file>

<file path=customXml/itemProps3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DF0971-C0B5-4B9A-B733-21512EAA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HP</cp:lastModifiedBy>
  <cp:revision>13</cp:revision>
  <dcterms:created xsi:type="dcterms:W3CDTF">2018-02-18T18:40:00Z</dcterms:created>
  <dcterms:modified xsi:type="dcterms:W3CDTF">2018-02-22T20:05:00Z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