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0"/>
        <w:gridCol w:w="4520"/>
        <w:gridCol w:w="20"/>
      </w:tblGrid>
      <w:tr w:rsidR="00D36B86" w:rsidRPr="00AE47A7" w14:paraId="08A2F286" w14:textId="77777777" w:rsidTr="00D36B86">
        <w:trPr>
          <w:gridAfter w:val="1"/>
          <w:wAfter w:w="20" w:type="dxa"/>
        </w:trPr>
        <w:tc>
          <w:tcPr>
            <w:tcW w:w="4530" w:type="dxa"/>
          </w:tcPr>
          <w:p w14:paraId="6891145B" w14:textId="12376903" w:rsidR="00D36B86" w:rsidRPr="00AE47A7" w:rsidRDefault="00A14214" w:rsidP="00674282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H. R. 1</w:t>
            </w:r>
            <w:r w:rsidR="009F448E">
              <w:rPr>
                <w:rFonts w:eastAsia="Tahoma"/>
                <w:b/>
                <w:iCs/>
                <w:sz w:val="24"/>
                <w:szCs w:val="24"/>
                <w:lang w:val="cs-CZ"/>
              </w:rPr>
              <w:t>001</w:t>
            </w:r>
          </w:p>
        </w:tc>
        <w:tc>
          <w:tcPr>
            <w:tcW w:w="4530" w:type="dxa"/>
            <w:gridSpan w:val="2"/>
          </w:tcPr>
          <w:p w14:paraId="20C6E098" w14:textId="32E2F465" w:rsidR="00D36B86" w:rsidRPr="00AE47A7" w:rsidRDefault="008208B6" w:rsidP="00674282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 energii a hospodářství</w:t>
            </w:r>
          </w:p>
        </w:tc>
      </w:tr>
      <w:tr w:rsidR="0036225B" w:rsidRPr="00AE47A7" w14:paraId="6DB831A1" w14:textId="77777777" w:rsidTr="00D36B86">
        <w:trPr>
          <w:trHeight w:val="540"/>
        </w:trPr>
        <w:tc>
          <w:tcPr>
            <w:tcW w:w="4540" w:type="dxa"/>
            <w:gridSpan w:val="2"/>
          </w:tcPr>
          <w:p w14:paraId="6E3EC735" w14:textId="77777777" w:rsidR="0036225B" w:rsidRPr="00AE47A7" w:rsidRDefault="0036225B" w:rsidP="00674282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</w:p>
        </w:tc>
        <w:tc>
          <w:tcPr>
            <w:tcW w:w="4540" w:type="dxa"/>
            <w:gridSpan w:val="2"/>
          </w:tcPr>
          <w:p w14:paraId="796D35DC" w14:textId="77777777" w:rsidR="0036225B" w:rsidRPr="00AE47A7" w:rsidRDefault="0036225B" w:rsidP="00674282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</w:p>
        </w:tc>
      </w:tr>
      <w:tr w:rsidR="0036225B" w:rsidRPr="00AE47A7" w14:paraId="61756B04" w14:textId="77777777" w:rsidTr="00D36B86">
        <w:trPr>
          <w:trHeight w:val="1001"/>
        </w:trPr>
        <w:tc>
          <w:tcPr>
            <w:tcW w:w="9080" w:type="dxa"/>
            <w:gridSpan w:val="4"/>
          </w:tcPr>
          <w:p w14:paraId="4E54DF4E" w14:textId="258C2316" w:rsidR="003E5F4F" w:rsidRDefault="00FF6D69" w:rsidP="00674282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8208B6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290789E1" w14:textId="699B75AB" w:rsidR="0036225B" w:rsidRPr="00AE47A7" w:rsidRDefault="00FF6D69" w:rsidP="00674282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</w:t>
            </w:r>
            <w:r w:rsidR="000013FC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0013FC"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21414EB6" w14:textId="316C2F47" w:rsidR="0036225B" w:rsidRPr="00AE47A7" w:rsidRDefault="0036225B" w:rsidP="00674282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0013FC">
              <w:rPr>
                <w:rFonts w:eastAsia="Tahoma"/>
                <w:iCs/>
                <w:szCs w:val="24"/>
                <w:lang w:val="cs-CZ"/>
              </w:rPr>
              <w:t>dev</w:t>
            </w:r>
            <w:r w:rsidR="00FF6D69">
              <w:rPr>
                <w:rFonts w:eastAsia="Tahoma"/>
                <w:iCs/>
                <w:szCs w:val="24"/>
                <w:lang w:val="cs-CZ"/>
              </w:rPr>
              <w:t>átého září</w:t>
            </w:r>
            <w:r w:rsidR="000013FC">
              <w:rPr>
                <w:rFonts w:eastAsia="Tahoma"/>
                <w:iCs/>
                <w:szCs w:val="24"/>
                <w:lang w:val="cs-CZ"/>
              </w:rPr>
              <w:t xml:space="preserve"> roku dvoutisícího os</w:t>
            </w:r>
            <w:bookmarkStart w:id="0" w:name="_GoBack"/>
            <w:bookmarkEnd w:id="0"/>
            <w:r w:rsidRPr="00AE47A7">
              <w:rPr>
                <w:rFonts w:eastAsia="Tahoma"/>
                <w:iCs/>
                <w:szCs w:val="24"/>
                <w:lang w:val="cs-CZ"/>
              </w:rPr>
              <w:t>mnáctého</w:t>
            </w:r>
          </w:p>
        </w:tc>
      </w:tr>
      <w:tr w:rsidR="0036225B" w:rsidRPr="00AE47A7" w14:paraId="550933DB" w14:textId="77777777" w:rsidTr="00D36B86">
        <w:trPr>
          <w:trHeight w:val="1141"/>
        </w:trPr>
        <w:tc>
          <w:tcPr>
            <w:tcW w:w="9080" w:type="dxa"/>
            <w:gridSpan w:val="4"/>
          </w:tcPr>
          <w:p w14:paraId="70975C8E" w14:textId="77777777" w:rsidR="009752C9" w:rsidRDefault="00674282" w:rsidP="00674282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79C6A732" w14:textId="77777777" w:rsidR="009752C9" w:rsidRPr="00B35FF5" w:rsidRDefault="009752C9" w:rsidP="00674282">
            <w:pPr>
              <w:jc w:val="center"/>
              <w:rPr>
                <w:rFonts w:eastAsia="Tahoma"/>
                <w:iCs/>
                <w:sz w:val="32"/>
                <w:szCs w:val="24"/>
                <w:lang w:val="cs-CZ"/>
              </w:rPr>
            </w:pPr>
            <w:r w:rsidRPr="00B35FF5">
              <w:rPr>
                <w:rFonts w:eastAsia="Tahoma"/>
                <w:iCs/>
                <w:sz w:val="24"/>
                <w:szCs w:val="24"/>
                <w:lang w:val="cs-CZ"/>
              </w:rPr>
              <w:t xml:space="preserve">o </w:t>
            </w:r>
            <w:r w:rsidR="00D36B86" w:rsidRPr="00B35FF5">
              <w:rPr>
                <w:rFonts w:eastAsia="Tahoma"/>
                <w:iCs/>
                <w:sz w:val="24"/>
                <w:szCs w:val="24"/>
                <w:lang w:val="cs-CZ"/>
              </w:rPr>
              <w:t>omezení světelného</w:t>
            </w:r>
            <w:r w:rsidRPr="00B35FF5">
              <w:rPr>
                <w:rFonts w:eastAsia="Tahoma"/>
                <w:iCs/>
                <w:sz w:val="24"/>
                <w:szCs w:val="24"/>
                <w:lang w:val="cs-CZ"/>
              </w:rPr>
              <w:t xml:space="preserve"> znečištění</w:t>
            </w:r>
          </w:p>
        </w:tc>
      </w:tr>
      <w:tr w:rsidR="0036225B" w:rsidRPr="00AE47A7" w14:paraId="5F37363E" w14:textId="77777777" w:rsidTr="00D36B86">
        <w:trPr>
          <w:trHeight w:val="1081"/>
        </w:trPr>
        <w:tc>
          <w:tcPr>
            <w:tcW w:w="9080" w:type="dxa"/>
            <w:gridSpan w:val="4"/>
          </w:tcPr>
          <w:p w14:paraId="5D173ACA" w14:textId="77777777" w:rsidR="0036225B" w:rsidRPr="00AE47A7" w:rsidRDefault="0036225B" w:rsidP="00674282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6428C0B6" w14:textId="77777777" w:rsidR="00D638B1" w:rsidRPr="00AE47A7" w:rsidRDefault="00D638B1" w:rsidP="00674282">
      <w:pPr>
        <w:spacing w:before="240" w:after="240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Hlava I – Úvodní ustanoven</w:t>
      </w:r>
      <w:r w:rsidR="00D36B86">
        <w:rPr>
          <w:b/>
          <w:sz w:val="24"/>
          <w:szCs w:val="24"/>
          <w:lang w:val="cs-CZ"/>
        </w:rPr>
        <w:t>í</w:t>
      </w:r>
    </w:p>
    <w:p w14:paraId="0A75FE4E" w14:textId="77777777" w:rsidR="00D638B1" w:rsidRPr="00AE47A7" w:rsidRDefault="00D638B1" w:rsidP="00674282">
      <w:pPr>
        <w:spacing w:after="120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</w:t>
      </w:r>
      <w:r w:rsidR="00CF154B">
        <w:rPr>
          <w:b/>
          <w:sz w:val="24"/>
          <w:szCs w:val="24"/>
          <w:lang w:val="cs-CZ"/>
        </w:rPr>
        <w:t>.</w:t>
      </w:r>
    </w:p>
    <w:p w14:paraId="6BA9B74C" w14:textId="77777777" w:rsidR="00D638B1" w:rsidRPr="00AE47A7" w:rsidRDefault="00D638B1" w:rsidP="00674282">
      <w:pPr>
        <w:spacing w:after="120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>V tomto zákoně</w:t>
      </w:r>
      <w:r w:rsidR="00D36B86">
        <w:rPr>
          <w:sz w:val="24"/>
          <w:szCs w:val="24"/>
          <w:lang w:val="cs-CZ"/>
        </w:rPr>
        <w:t>:</w:t>
      </w:r>
    </w:p>
    <w:p w14:paraId="68E9CAF4" w14:textId="77777777" w:rsidR="00D638B1" w:rsidRPr="001A0244" w:rsidRDefault="00D36B86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SVĚTELNÉ ZNEČIŠTĚNÍ</w:t>
      </w:r>
      <w:r w:rsidR="00572BB1">
        <w:rPr>
          <w:rFonts w:eastAsia="Tahoma"/>
          <w:sz w:val="24"/>
          <w:szCs w:val="24"/>
          <w:lang w:val="cs-CZ"/>
        </w:rPr>
        <w:t>.</w:t>
      </w:r>
      <w:r w:rsidR="00D638B1">
        <w:rPr>
          <w:rFonts w:eastAsia="Tahoma"/>
          <w:sz w:val="24"/>
          <w:szCs w:val="24"/>
          <w:lang w:val="cs-CZ"/>
        </w:rPr>
        <w:t xml:space="preserve"> </w:t>
      </w:r>
      <w:r>
        <w:rPr>
          <w:rFonts w:eastAsia="Tahoma"/>
          <w:sz w:val="24"/>
          <w:szCs w:val="24"/>
          <w:lang w:val="cs-CZ"/>
        </w:rPr>
        <w:t>–</w:t>
      </w:r>
      <w:r w:rsidR="00D638B1" w:rsidRPr="008F7060">
        <w:rPr>
          <w:rFonts w:eastAsia="Tahoma"/>
          <w:sz w:val="24"/>
          <w:szCs w:val="24"/>
          <w:lang w:val="cs-CZ"/>
        </w:rPr>
        <w:t xml:space="preserve"> </w:t>
      </w:r>
      <w:r w:rsidR="00572BB1">
        <w:rPr>
          <w:rFonts w:eastAsia="Tahoma"/>
          <w:sz w:val="24"/>
          <w:szCs w:val="24"/>
          <w:lang w:val="cs-CZ"/>
        </w:rPr>
        <w:t>T</w:t>
      </w:r>
      <w:r>
        <w:rPr>
          <w:rFonts w:eastAsia="Tahoma"/>
          <w:sz w:val="24"/>
          <w:szCs w:val="24"/>
          <w:lang w:val="cs-CZ"/>
        </w:rPr>
        <w:t xml:space="preserve">ermín „světelné znečištění“ znamená </w:t>
      </w:r>
      <w:r w:rsidR="00D638B1" w:rsidRPr="008F7060">
        <w:rPr>
          <w:sz w:val="24"/>
          <w:szCs w:val="24"/>
          <w:lang w:val="cs-CZ"/>
        </w:rPr>
        <w:t>všechny negativní jevy, které jsou způsobeny umělým osvětlením</w:t>
      </w:r>
      <w:r w:rsidR="00CF154B">
        <w:rPr>
          <w:sz w:val="24"/>
          <w:szCs w:val="24"/>
          <w:lang w:val="cs-CZ"/>
        </w:rPr>
        <w:t>.</w:t>
      </w:r>
    </w:p>
    <w:p w14:paraId="6C1BE5A7" w14:textId="77777777" w:rsidR="007F5967" w:rsidRDefault="007F5967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BUDOVA. – Termín „budova“</w:t>
      </w:r>
      <w:r w:rsidR="00E27F0E">
        <w:rPr>
          <w:rFonts w:eastAsia="Tahoma"/>
          <w:sz w:val="24"/>
          <w:szCs w:val="24"/>
          <w:lang w:val="cs-CZ"/>
        </w:rPr>
        <w:t xml:space="preserve"> znamená jakoukoliv stavbu</w:t>
      </w:r>
      <w:r w:rsidR="005A6CBF">
        <w:rPr>
          <w:rFonts w:eastAsia="Tahoma"/>
          <w:sz w:val="24"/>
          <w:szCs w:val="24"/>
          <w:lang w:val="cs-CZ"/>
        </w:rPr>
        <w:t xml:space="preserve"> nebo její část, jejíž</w:t>
      </w:r>
      <w:r w:rsidR="00E27F0E">
        <w:rPr>
          <w:rFonts w:eastAsia="Tahoma"/>
          <w:sz w:val="24"/>
          <w:szCs w:val="24"/>
          <w:lang w:val="cs-CZ"/>
        </w:rPr>
        <w:t xml:space="preserve"> technická povaha umožňuje její částečné či úplné</w:t>
      </w:r>
      <w:r w:rsidR="005A6CBF">
        <w:rPr>
          <w:rFonts w:eastAsia="Tahoma"/>
          <w:sz w:val="24"/>
          <w:szCs w:val="24"/>
          <w:lang w:val="cs-CZ"/>
        </w:rPr>
        <w:t xml:space="preserve"> osvětlení</w:t>
      </w:r>
      <w:r w:rsidR="00E27F0E">
        <w:rPr>
          <w:rFonts w:eastAsia="Tahoma"/>
          <w:sz w:val="24"/>
          <w:szCs w:val="24"/>
          <w:lang w:val="cs-CZ"/>
        </w:rPr>
        <w:t xml:space="preserve"> umělým zdrojem světla, anebo jejíž struktura umožňuje její využití pro zobrazování dynamických vizuálních reklamních sdělení, zejména fotografií a videa.</w:t>
      </w:r>
    </w:p>
    <w:p w14:paraId="054630E8" w14:textId="77777777" w:rsidR="00E27F0E" w:rsidRDefault="00E27F0E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JINÁ PLOCHA. </w:t>
      </w:r>
      <w:r>
        <w:rPr>
          <w:rFonts w:eastAsia="Tahoma"/>
          <w:b/>
          <w:sz w:val="24"/>
          <w:szCs w:val="24"/>
          <w:lang w:val="cs-CZ"/>
        </w:rPr>
        <w:t xml:space="preserve">– </w:t>
      </w:r>
      <w:r>
        <w:rPr>
          <w:rFonts w:eastAsia="Tahoma"/>
          <w:sz w:val="24"/>
          <w:szCs w:val="24"/>
          <w:lang w:val="cs-CZ"/>
        </w:rPr>
        <w:t>Termín „jiná plocha“ zna</w:t>
      </w:r>
      <w:r w:rsidR="005A6CBF">
        <w:rPr>
          <w:rFonts w:eastAsia="Tahoma"/>
          <w:sz w:val="24"/>
          <w:szCs w:val="24"/>
          <w:lang w:val="cs-CZ"/>
        </w:rPr>
        <w:t>mená prostorově vymezitelnou plochu odlišnou od stavby</w:t>
      </w:r>
      <w:r>
        <w:rPr>
          <w:rFonts w:eastAsia="Tahoma"/>
          <w:sz w:val="24"/>
          <w:szCs w:val="24"/>
          <w:lang w:val="cs-CZ"/>
        </w:rPr>
        <w:t>, kterou lze díky její technické povaze využít obdobně jako stavbu,</w:t>
      </w:r>
      <w:r w:rsidR="005A6CBF">
        <w:rPr>
          <w:rFonts w:eastAsia="Tahoma"/>
          <w:sz w:val="24"/>
          <w:szCs w:val="24"/>
          <w:lang w:val="cs-CZ"/>
        </w:rPr>
        <w:t xml:space="preserve"> a která</w:t>
      </w:r>
      <w:r>
        <w:rPr>
          <w:rFonts w:eastAsia="Tahoma"/>
          <w:sz w:val="24"/>
          <w:szCs w:val="24"/>
          <w:lang w:val="cs-CZ"/>
        </w:rPr>
        <w:t xml:space="preserve"> je v okolní </w:t>
      </w:r>
      <w:r w:rsidR="005A6CBF">
        <w:rPr>
          <w:rFonts w:eastAsia="Tahoma"/>
          <w:sz w:val="24"/>
          <w:szCs w:val="24"/>
          <w:lang w:val="cs-CZ"/>
        </w:rPr>
        <w:t xml:space="preserve">zástavbě výrazným </w:t>
      </w:r>
      <w:r>
        <w:rPr>
          <w:rFonts w:eastAsia="Tahoma"/>
          <w:sz w:val="24"/>
          <w:szCs w:val="24"/>
          <w:lang w:val="cs-CZ"/>
        </w:rPr>
        <w:t>prvkem.</w:t>
      </w:r>
    </w:p>
    <w:p w14:paraId="70CEE3DC" w14:textId="77777777" w:rsidR="001A0244" w:rsidRPr="00572BB1" w:rsidRDefault="001A0244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SOUKROMÁ BUDOVA. – Termín „soukromá budova“ znamená jakoukoliv budovu, která je ve vlastnictví fyzické či právnické osoby a leží na území Spojených států amerických.</w:t>
      </w:r>
    </w:p>
    <w:p w14:paraId="4C0855DF" w14:textId="77777777" w:rsidR="00A913DA" w:rsidRDefault="00572BB1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VEŘEJNÁ BUDOVA. – Termín „veřejná budova“ znamená jakoukoliv budovu, </w:t>
      </w:r>
      <w:r w:rsidR="002F59E2">
        <w:rPr>
          <w:rFonts w:eastAsia="Tahoma"/>
          <w:sz w:val="24"/>
          <w:szCs w:val="24"/>
          <w:lang w:val="cs-CZ"/>
        </w:rPr>
        <w:t xml:space="preserve">která je ve vlastnictví daného státu Unie </w:t>
      </w:r>
      <w:r w:rsidR="001A0244">
        <w:rPr>
          <w:rFonts w:eastAsia="Tahoma"/>
          <w:sz w:val="24"/>
          <w:szCs w:val="24"/>
          <w:lang w:val="cs-CZ"/>
        </w:rPr>
        <w:t>a která leží na území Spojených států amerických.</w:t>
      </w:r>
    </w:p>
    <w:p w14:paraId="76D33C07" w14:textId="77777777" w:rsidR="004E1169" w:rsidRPr="004E1169" w:rsidRDefault="00A913DA" w:rsidP="0067428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ÚSPORNÝ ZDROJ SVĚTLA. – Termín „úsporný zdroj světla“ znamená zdroj světla, který byl označen jako úsporný </w:t>
      </w:r>
      <w:r w:rsidR="00FA3D98">
        <w:rPr>
          <w:rFonts w:eastAsia="Tahoma"/>
          <w:sz w:val="24"/>
          <w:szCs w:val="24"/>
          <w:lang w:val="cs-CZ"/>
        </w:rPr>
        <w:t>Ministerstvem energetiky, protože oproti normálnímu zdroji světla méně přispívá ke světelnému znečištění.</w:t>
      </w:r>
      <w:r w:rsidR="004E1169" w:rsidRPr="004E1169">
        <w:rPr>
          <w:rFonts w:eastAsia="Tahoma"/>
          <w:sz w:val="24"/>
          <w:szCs w:val="24"/>
          <w:lang w:val="cs-CZ"/>
        </w:rPr>
        <w:br w:type="page"/>
      </w:r>
    </w:p>
    <w:p w14:paraId="20B2C797" w14:textId="77777777" w:rsidR="00A913DA" w:rsidRDefault="00A913DA" w:rsidP="00674282">
      <w:pPr>
        <w:spacing w:after="120"/>
        <w:jc w:val="both"/>
        <w:rPr>
          <w:rFonts w:eastAsia="Tahoma"/>
          <w:b/>
          <w:sz w:val="24"/>
          <w:szCs w:val="24"/>
          <w:lang w:val="cs-CZ"/>
        </w:rPr>
      </w:pPr>
      <w:r>
        <w:rPr>
          <w:rFonts w:eastAsia="Tahoma"/>
          <w:b/>
          <w:sz w:val="24"/>
          <w:szCs w:val="24"/>
          <w:lang w:val="cs-CZ"/>
        </w:rPr>
        <w:lastRenderedPageBreak/>
        <w:t>Par. 102. Rozsah zákona.</w:t>
      </w:r>
    </w:p>
    <w:p w14:paraId="059FA6D4" w14:textId="77777777" w:rsidR="00572BB1" w:rsidRPr="00A913DA" w:rsidRDefault="00A913DA" w:rsidP="00674282">
      <w:pPr>
        <w:spacing w:after="120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Veškerá ustanovení tohoto zákona se týkají pouze světelného znečištění způsobeného jinými než úspornými zdroji světla. Úsporné zdroje světla jsou vyňaty z působnosti tohoto zákona a jejich používání není omezeno tímto zákonem.</w:t>
      </w:r>
    </w:p>
    <w:p w14:paraId="58CFC49E" w14:textId="77777777" w:rsidR="00D638B1" w:rsidRPr="00AE47A7" w:rsidRDefault="00D638B1" w:rsidP="00674282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Hlava II – </w:t>
      </w:r>
      <w:r>
        <w:rPr>
          <w:b/>
          <w:sz w:val="24"/>
          <w:szCs w:val="24"/>
          <w:lang w:val="cs-CZ"/>
        </w:rPr>
        <w:t>Omezení světelného znečištění</w:t>
      </w:r>
    </w:p>
    <w:p w14:paraId="35B6C4AE" w14:textId="77777777" w:rsidR="00D638B1" w:rsidRPr="00AE47A7" w:rsidRDefault="00D638B1" w:rsidP="00674282">
      <w:pPr>
        <w:spacing w:after="120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</w:t>
      </w:r>
      <w:r w:rsidR="00CF154B">
        <w:rPr>
          <w:b/>
          <w:sz w:val="24"/>
          <w:szCs w:val="24"/>
          <w:lang w:val="cs-CZ"/>
        </w:rPr>
        <w:t>ar. 201</w:t>
      </w:r>
      <w:r w:rsidRPr="00AE47A7">
        <w:rPr>
          <w:b/>
          <w:sz w:val="24"/>
          <w:szCs w:val="24"/>
          <w:lang w:val="cs-CZ"/>
        </w:rPr>
        <w:t xml:space="preserve">. </w:t>
      </w:r>
      <w:r w:rsidR="00352829">
        <w:rPr>
          <w:b/>
          <w:sz w:val="24"/>
          <w:szCs w:val="24"/>
          <w:lang w:val="cs-CZ"/>
        </w:rPr>
        <w:t>Soukromé reklamní plochy</w:t>
      </w:r>
      <w:r w:rsidR="00CF154B">
        <w:rPr>
          <w:b/>
          <w:sz w:val="24"/>
          <w:szCs w:val="24"/>
          <w:lang w:val="cs-CZ"/>
        </w:rPr>
        <w:t>.</w:t>
      </w:r>
    </w:p>
    <w:p w14:paraId="3FA4148A" w14:textId="77777777" w:rsidR="00D638B1" w:rsidRDefault="00D638B1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 w:rsidRPr="002049FB">
        <w:rPr>
          <w:sz w:val="24"/>
          <w:szCs w:val="24"/>
          <w:lang w:val="cs-CZ"/>
        </w:rPr>
        <w:t xml:space="preserve">Stanovuje </w:t>
      </w:r>
      <w:r w:rsidR="00DE52AE">
        <w:rPr>
          <w:sz w:val="24"/>
          <w:szCs w:val="24"/>
          <w:lang w:val="cs-CZ"/>
        </w:rPr>
        <w:t xml:space="preserve">se zákaz osvětlování budov a jiných </w:t>
      </w:r>
      <w:r w:rsidRPr="002049FB">
        <w:rPr>
          <w:sz w:val="24"/>
          <w:szCs w:val="24"/>
          <w:lang w:val="cs-CZ"/>
        </w:rPr>
        <w:t xml:space="preserve">ploch </w:t>
      </w:r>
      <w:r w:rsidR="00DE52AE">
        <w:rPr>
          <w:sz w:val="24"/>
          <w:szCs w:val="24"/>
          <w:lang w:val="cs-CZ"/>
        </w:rPr>
        <w:t>zobrazujících reklamní sdělení</w:t>
      </w:r>
      <w:r w:rsidR="00352829" w:rsidRPr="002049FB">
        <w:rPr>
          <w:sz w:val="24"/>
          <w:szCs w:val="24"/>
          <w:lang w:val="cs-CZ"/>
        </w:rPr>
        <w:t xml:space="preserve"> </w:t>
      </w:r>
      <w:r w:rsidR="00DE52AE">
        <w:rPr>
          <w:sz w:val="24"/>
          <w:szCs w:val="24"/>
          <w:lang w:val="cs-CZ"/>
        </w:rPr>
        <w:t>v hodinách od 24:00 do 06</w:t>
      </w:r>
      <w:r w:rsidRPr="002049FB">
        <w:rPr>
          <w:sz w:val="24"/>
          <w:szCs w:val="24"/>
          <w:lang w:val="cs-CZ"/>
        </w:rPr>
        <w:t>:00</w:t>
      </w:r>
      <w:r w:rsidR="00CF154B" w:rsidRPr="002049FB">
        <w:rPr>
          <w:sz w:val="24"/>
          <w:szCs w:val="24"/>
          <w:lang w:val="cs-CZ"/>
        </w:rPr>
        <w:t>.</w:t>
      </w:r>
    </w:p>
    <w:p w14:paraId="14B4B6FF" w14:textId="77777777" w:rsidR="00A462AD" w:rsidRDefault="00A462AD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Stanovuje se zákaz přehrávání reklamních sdělení na b</w:t>
      </w:r>
      <w:r w:rsidR="00DE52AE">
        <w:rPr>
          <w:sz w:val="24"/>
          <w:szCs w:val="24"/>
          <w:lang w:val="cs-CZ"/>
        </w:rPr>
        <w:t>udovách či jiných plochách od 24:00 od 06</w:t>
      </w:r>
      <w:r>
        <w:rPr>
          <w:sz w:val="24"/>
          <w:szCs w:val="24"/>
          <w:lang w:val="cs-CZ"/>
        </w:rPr>
        <w:t>:00.</w:t>
      </w:r>
    </w:p>
    <w:p w14:paraId="73DD0556" w14:textId="77777777" w:rsidR="000C2F18" w:rsidRDefault="002F59E2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Ustanovení odst. 1 a odst. 2 se neaplikují ve městech s více 1 000 000 </w:t>
      </w:r>
      <w:r w:rsidR="00E2640E">
        <w:rPr>
          <w:sz w:val="24"/>
          <w:szCs w:val="24"/>
          <w:lang w:val="cs-CZ"/>
        </w:rPr>
        <w:t>obyvatel. Zastupitelstva těchto měst však mohou přijmout obecně závaznou vyhlášku, která může stanovit obdobná omezení jako tento zákon pro celé město či jeho část.</w:t>
      </w:r>
    </w:p>
    <w:p w14:paraId="0122B6FF" w14:textId="77777777" w:rsidR="002F59E2" w:rsidRPr="002F59E2" w:rsidRDefault="002F59E2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Ostatní města mohou požádat Agenturu pro světelnou problematiku o výjimku.</w:t>
      </w:r>
    </w:p>
    <w:p w14:paraId="2BD306C4" w14:textId="77777777" w:rsidR="002049FB" w:rsidRDefault="002049FB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 porušení odst. 1 </w:t>
      </w:r>
      <w:r w:rsidR="00DE52AE">
        <w:rPr>
          <w:sz w:val="24"/>
          <w:szCs w:val="24"/>
          <w:lang w:val="cs-CZ"/>
        </w:rPr>
        <w:t>lze udělit pokutu až do výše 5</w:t>
      </w:r>
      <w:r>
        <w:rPr>
          <w:sz w:val="24"/>
          <w:szCs w:val="24"/>
          <w:lang w:val="cs-CZ"/>
        </w:rPr>
        <w:t>00.000 USD.</w:t>
      </w:r>
    </w:p>
    <w:p w14:paraId="59B75489" w14:textId="77777777" w:rsidR="00DE52AE" w:rsidRPr="002049FB" w:rsidRDefault="00DE52AE" w:rsidP="00674282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porušení odst. 2 lze udělit pokutu až do výše 1.000.000 USD.</w:t>
      </w:r>
    </w:p>
    <w:p w14:paraId="6932EE1C" w14:textId="77777777" w:rsidR="00572BB1" w:rsidRDefault="00572BB1" w:rsidP="0067428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202. Nasvícení soukromých budov.</w:t>
      </w:r>
    </w:p>
    <w:p w14:paraId="61E5A4B3" w14:textId="77777777" w:rsidR="00572BB1" w:rsidRDefault="00572BB1" w:rsidP="00674282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 w:rsidRPr="00572BB1">
        <w:rPr>
          <w:sz w:val="24"/>
          <w:szCs w:val="24"/>
          <w:lang w:val="cs-CZ"/>
        </w:rPr>
        <w:t>Stanovuje se zákaz nasvícení soukromých budov v hodinách od 01:00 do 04:00 s výjimkou krátkodobého osvětlení reagujícího</w:t>
      </w:r>
      <w:r w:rsidR="005C368A">
        <w:rPr>
          <w:sz w:val="24"/>
          <w:szCs w:val="24"/>
          <w:lang w:val="cs-CZ"/>
        </w:rPr>
        <w:t xml:space="preserve"> na pohyb osob, které má usnadnit</w:t>
      </w:r>
      <w:r w:rsidRPr="00572BB1">
        <w:rPr>
          <w:sz w:val="24"/>
          <w:szCs w:val="24"/>
          <w:lang w:val="cs-CZ"/>
        </w:rPr>
        <w:t xml:space="preserve"> orientaci a přístup do budovy. </w:t>
      </w:r>
    </w:p>
    <w:p w14:paraId="41EC62E2" w14:textId="77777777" w:rsidR="00572BB1" w:rsidRDefault="00572BB1" w:rsidP="00674282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Odst</w:t>
      </w:r>
      <w:r w:rsidR="002F59E2">
        <w:rPr>
          <w:sz w:val="24"/>
          <w:szCs w:val="24"/>
          <w:lang w:val="cs-CZ"/>
        </w:rPr>
        <w:t xml:space="preserve">avec 1 se nepoužije v období státních svátků. </w:t>
      </w:r>
    </w:p>
    <w:p w14:paraId="249A5B9C" w14:textId="77777777" w:rsidR="00C02084" w:rsidRPr="00572BB1" w:rsidRDefault="00C02084" w:rsidP="00674282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porušení odst. 1 lze udělit pokutu až do výše 100.000 USD.</w:t>
      </w:r>
    </w:p>
    <w:p w14:paraId="50B92B8A" w14:textId="77777777" w:rsidR="00352829" w:rsidRDefault="00352829" w:rsidP="0067428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</w:t>
      </w:r>
      <w:r w:rsidR="009A4AA3">
        <w:rPr>
          <w:b/>
          <w:sz w:val="24"/>
          <w:szCs w:val="24"/>
          <w:lang w:val="cs-CZ"/>
        </w:rPr>
        <w:t>ar. 203</w:t>
      </w:r>
      <w:r>
        <w:rPr>
          <w:b/>
          <w:sz w:val="24"/>
          <w:szCs w:val="24"/>
          <w:lang w:val="cs-CZ"/>
        </w:rPr>
        <w:t xml:space="preserve">. </w:t>
      </w:r>
      <w:r w:rsidR="009A4AA3">
        <w:rPr>
          <w:b/>
          <w:sz w:val="24"/>
          <w:szCs w:val="24"/>
          <w:lang w:val="cs-CZ"/>
        </w:rPr>
        <w:t>Venkovní o</w:t>
      </w:r>
      <w:r>
        <w:rPr>
          <w:b/>
          <w:sz w:val="24"/>
          <w:szCs w:val="24"/>
          <w:lang w:val="cs-CZ"/>
        </w:rPr>
        <w:t>světlování veřejných budov.</w:t>
      </w:r>
    </w:p>
    <w:p w14:paraId="6AC82BFD" w14:textId="77777777" w:rsidR="00352829" w:rsidRDefault="004C51EC" w:rsidP="00674282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zakázáno používat</w:t>
      </w:r>
      <w:r w:rsidR="00572BB1" w:rsidRPr="00572BB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venkovní</w:t>
      </w:r>
      <w:r w:rsidR="00572BB1" w:rsidRPr="00572BB1">
        <w:rPr>
          <w:sz w:val="24"/>
          <w:szCs w:val="24"/>
          <w:lang w:val="cs-CZ"/>
        </w:rPr>
        <w:t xml:space="preserve"> nasvícení veřejných budov v době, kdy nejsou otevřeny veřejnosti.</w:t>
      </w:r>
    </w:p>
    <w:p w14:paraId="1C4C8777" w14:textId="77777777" w:rsidR="00572BB1" w:rsidRDefault="00572BB1" w:rsidP="00674282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Výjimku z odstavce 1 mají budovy Kongresu Spojených států amerických, </w:t>
      </w:r>
      <w:r w:rsidR="001A0244">
        <w:rPr>
          <w:sz w:val="24"/>
          <w:szCs w:val="24"/>
          <w:lang w:val="cs-CZ"/>
        </w:rPr>
        <w:t>sídla Prezidenta Spojených států amerických</w:t>
      </w:r>
      <w:r>
        <w:rPr>
          <w:sz w:val="24"/>
          <w:szCs w:val="24"/>
          <w:lang w:val="cs-CZ"/>
        </w:rPr>
        <w:t xml:space="preserve"> a Nejvyššího soudu.</w:t>
      </w:r>
      <w:r w:rsidR="002F59E2">
        <w:rPr>
          <w:sz w:val="24"/>
          <w:szCs w:val="24"/>
          <w:lang w:val="cs-CZ"/>
        </w:rPr>
        <w:t xml:space="preserve"> Vláda každého státu Unie může svým nařízením rozšířit </w:t>
      </w:r>
      <w:r w:rsidR="00E2640E">
        <w:rPr>
          <w:sz w:val="24"/>
          <w:szCs w:val="24"/>
          <w:lang w:val="cs-CZ"/>
        </w:rPr>
        <w:t xml:space="preserve">seznam výjimek </w:t>
      </w:r>
      <w:r w:rsidR="002F59E2">
        <w:rPr>
          <w:sz w:val="24"/>
          <w:szCs w:val="24"/>
          <w:lang w:val="cs-CZ"/>
        </w:rPr>
        <w:t>o další budovy národního významu na svém území.</w:t>
      </w:r>
    </w:p>
    <w:p w14:paraId="3EF5B221" w14:textId="77777777" w:rsidR="001A123E" w:rsidRDefault="001A123E" w:rsidP="00674282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Příslušná instituce, na jejíž sídlo ve veřejné budově odst. 1 dopadá, může požádat o výjimku u ASP.</w:t>
      </w:r>
    </w:p>
    <w:p w14:paraId="72BF63EB" w14:textId="77777777" w:rsidR="00572BB1" w:rsidRDefault="0081578B" w:rsidP="0067428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Par. 204</w:t>
      </w:r>
      <w:r w:rsidR="00572BB1">
        <w:rPr>
          <w:b/>
          <w:sz w:val="24"/>
          <w:szCs w:val="24"/>
          <w:lang w:val="cs-CZ"/>
        </w:rPr>
        <w:t>. Veřejné pouliční osvětlení.</w:t>
      </w:r>
    </w:p>
    <w:p w14:paraId="33691699" w14:textId="77777777" w:rsidR="00572BB1" w:rsidRPr="001A123E" w:rsidRDefault="00572BB1" w:rsidP="00674282">
      <w:pPr>
        <w:spacing w:after="120"/>
        <w:jc w:val="both"/>
        <w:rPr>
          <w:sz w:val="24"/>
          <w:szCs w:val="24"/>
          <w:lang w:val="cs-CZ"/>
        </w:rPr>
      </w:pPr>
      <w:r w:rsidRPr="00572BB1">
        <w:rPr>
          <w:sz w:val="24"/>
          <w:szCs w:val="24"/>
          <w:lang w:val="cs-CZ"/>
        </w:rPr>
        <w:t>Svítivost veřejného pouličního osvětlení bude snížena o 30</w:t>
      </w:r>
      <w:r w:rsidR="00DE52AE">
        <w:rPr>
          <w:sz w:val="24"/>
          <w:szCs w:val="24"/>
          <w:lang w:val="cs-CZ"/>
        </w:rPr>
        <w:t xml:space="preserve"> % v</w:t>
      </w:r>
      <w:r w:rsidR="002F59E2">
        <w:rPr>
          <w:sz w:val="24"/>
          <w:szCs w:val="24"/>
          <w:lang w:val="cs-CZ"/>
        </w:rPr>
        <w:t xml:space="preserve"> nočních hodinách. Podrobnosti ohledně </w:t>
      </w:r>
      <w:r w:rsidR="002F7E3A">
        <w:rPr>
          <w:sz w:val="24"/>
          <w:szCs w:val="24"/>
          <w:lang w:val="cs-CZ"/>
        </w:rPr>
        <w:t>provádění</w:t>
      </w:r>
      <w:r w:rsidR="002F59E2">
        <w:rPr>
          <w:sz w:val="24"/>
          <w:szCs w:val="24"/>
          <w:lang w:val="cs-CZ"/>
        </w:rPr>
        <w:t xml:space="preserve"> tohoto snížení v průběhu </w:t>
      </w:r>
      <w:r w:rsidR="00A913DA">
        <w:rPr>
          <w:sz w:val="24"/>
          <w:szCs w:val="24"/>
          <w:lang w:val="cs-CZ"/>
        </w:rPr>
        <w:t>roku stanoví</w:t>
      </w:r>
      <w:r w:rsidR="002F59E2">
        <w:rPr>
          <w:sz w:val="24"/>
          <w:szCs w:val="24"/>
          <w:lang w:val="cs-CZ"/>
        </w:rPr>
        <w:t xml:space="preserve"> vyhláška.</w:t>
      </w:r>
    </w:p>
    <w:p w14:paraId="6194B888" w14:textId="77777777" w:rsidR="00C02084" w:rsidRDefault="00D638B1" w:rsidP="00674282">
      <w:pPr>
        <w:pStyle w:val="Heading1"/>
        <w:spacing w:before="240" w:after="240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 xml:space="preserve">Hlava </w:t>
      </w:r>
      <w:r w:rsidR="00D36B86">
        <w:rPr>
          <w:rFonts w:ascii="Times New Roman" w:hAnsi="Times New Roman" w:cs="Times New Roman"/>
        </w:rPr>
        <w:t>III</w:t>
      </w:r>
      <w:r w:rsidR="00C02084">
        <w:rPr>
          <w:rFonts w:ascii="Times New Roman" w:hAnsi="Times New Roman" w:cs="Times New Roman"/>
        </w:rPr>
        <w:t xml:space="preserve"> – Omezení neestetického osvětlení</w:t>
      </w:r>
    </w:p>
    <w:p w14:paraId="21782827" w14:textId="77777777" w:rsidR="00C02084" w:rsidRDefault="00C02084" w:rsidP="00674282">
      <w:pPr>
        <w:jc w:val="both"/>
        <w:rPr>
          <w:b/>
          <w:sz w:val="24"/>
          <w:lang w:val="cs-CZ"/>
        </w:rPr>
      </w:pPr>
      <w:r w:rsidRPr="00C02084">
        <w:rPr>
          <w:b/>
          <w:sz w:val="24"/>
          <w:lang w:val="cs-CZ"/>
        </w:rPr>
        <w:t>Par. 301</w:t>
      </w:r>
      <w:r>
        <w:rPr>
          <w:b/>
          <w:sz w:val="24"/>
          <w:lang w:val="cs-CZ"/>
        </w:rPr>
        <w:t xml:space="preserve">. </w:t>
      </w:r>
      <w:r w:rsidR="004C51EC">
        <w:rPr>
          <w:b/>
          <w:sz w:val="24"/>
          <w:lang w:val="cs-CZ"/>
        </w:rPr>
        <w:t>Zákaz přerušovaného osvětlování.</w:t>
      </w:r>
    </w:p>
    <w:p w14:paraId="19A9257B" w14:textId="77777777" w:rsidR="002F59E2" w:rsidRDefault="004C51EC" w:rsidP="00674282">
      <w:pPr>
        <w:pStyle w:val="ListParagraph"/>
        <w:numPr>
          <w:ilvl w:val="0"/>
          <w:numId w:val="30"/>
        </w:numPr>
        <w:jc w:val="both"/>
        <w:rPr>
          <w:sz w:val="24"/>
          <w:lang w:val="cs-CZ"/>
        </w:rPr>
      </w:pPr>
      <w:r w:rsidRPr="002F59E2">
        <w:rPr>
          <w:sz w:val="24"/>
          <w:lang w:val="cs-CZ"/>
        </w:rPr>
        <w:t xml:space="preserve">Je zakázáno osvětlovat budovy a jiné plochy pomocí zařízení, která neprodukují souvislé osvětlení, ale která svítí </w:t>
      </w:r>
      <w:r w:rsidR="00DE52AE" w:rsidRPr="002F59E2">
        <w:rPr>
          <w:sz w:val="24"/>
          <w:lang w:val="cs-CZ"/>
        </w:rPr>
        <w:t>pouze intervalově, zejména</w:t>
      </w:r>
      <w:r w:rsidR="00461495" w:rsidRPr="002F59E2">
        <w:rPr>
          <w:sz w:val="24"/>
          <w:lang w:val="cs-CZ"/>
        </w:rPr>
        <w:t xml:space="preserve"> blikají.</w:t>
      </w:r>
    </w:p>
    <w:p w14:paraId="090F93D6" w14:textId="77777777" w:rsidR="00461495" w:rsidRPr="002F59E2" w:rsidRDefault="002F59E2" w:rsidP="00674282">
      <w:pPr>
        <w:pStyle w:val="ListParagraph"/>
        <w:numPr>
          <w:ilvl w:val="0"/>
          <w:numId w:val="30"/>
        </w:num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Odstavec 1 se nepoužije </w:t>
      </w:r>
      <w:r w:rsidR="000C2F18">
        <w:rPr>
          <w:sz w:val="24"/>
          <w:lang w:val="cs-CZ"/>
        </w:rPr>
        <w:t>v období státních svátků.</w:t>
      </w:r>
    </w:p>
    <w:p w14:paraId="35A73C67" w14:textId="77777777" w:rsidR="004C51EC" w:rsidRDefault="004C51EC" w:rsidP="00674282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Par. 302. Zákaz osvětlování náboženských symbolů.</w:t>
      </w:r>
    </w:p>
    <w:p w14:paraId="6BC51614" w14:textId="77777777" w:rsidR="004C51EC" w:rsidRPr="004C51EC" w:rsidRDefault="004C51EC" w:rsidP="00674282">
      <w:pPr>
        <w:jc w:val="both"/>
        <w:rPr>
          <w:sz w:val="24"/>
          <w:lang w:val="cs-CZ"/>
        </w:rPr>
      </w:pPr>
      <w:r>
        <w:rPr>
          <w:sz w:val="24"/>
          <w:lang w:val="cs-CZ"/>
        </w:rPr>
        <w:t>Je zakázáno osvětlovat budovy a jiné plochy tím způsobem, aby byl tímto osvětlením zvýrazněn náboženský symbol nalézající se na budově či jiné ploše.</w:t>
      </w:r>
    </w:p>
    <w:p w14:paraId="02ECF53B" w14:textId="77777777" w:rsidR="00CF154B" w:rsidRDefault="004C51EC" w:rsidP="00674282">
      <w:pPr>
        <w:pStyle w:val="Heading1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Hlava IV</w:t>
      </w:r>
      <w:r w:rsidR="00CF154B">
        <w:rPr>
          <w:rFonts w:ascii="Times New Roman" w:hAnsi="Times New Roman" w:cs="Times New Roman"/>
        </w:rPr>
        <w:t xml:space="preserve"> – Agentura pro světelnou problematiku</w:t>
      </w:r>
    </w:p>
    <w:p w14:paraId="57888491" w14:textId="77777777" w:rsidR="00CF154B" w:rsidRDefault="00A462AD" w:rsidP="0067428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40</w:t>
      </w:r>
      <w:r w:rsidR="00CF154B" w:rsidRPr="00AE47A7">
        <w:rPr>
          <w:b/>
          <w:sz w:val="24"/>
          <w:szCs w:val="24"/>
          <w:lang w:val="cs-CZ"/>
        </w:rPr>
        <w:t xml:space="preserve">1. </w:t>
      </w:r>
      <w:r w:rsidR="00CF154B">
        <w:rPr>
          <w:b/>
          <w:sz w:val="24"/>
          <w:szCs w:val="24"/>
          <w:lang w:val="cs-CZ"/>
        </w:rPr>
        <w:t>Agentura pro světelnou problematiku (ASP).</w:t>
      </w:r>
    </w:p>
    <w:p w14:paraId="2B5287FF" w14:textId="77777777" w:rsidR="001A123E" w:rsidRPr="001A123E" w:rsidRDefault="00CF154B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 w:rsidRPr="00CF154B">
        <w:rPr>
          <w:sz w:val="24"/>
          <w:szCs w:val="24"/>
          <w:lang w:val="cs-CZ"/>
        </w:rPr>
        <w:t>Zřizuje se federální Agentura pro světelno</w:t>
      </w:r>
      <w:r w:rsidR="002759B4">
        <w:rPr>
          <w:sz w:val="24"/>
          <w:szCs w:val="24"/>
          <w:lang w:val="cs-CZ"/>
        </w:rPr>
        <w:t>u problematiku (dále jen „ASP“), která je financována z rozpočtu Ministerstva energetiky.</w:t>
      </w:r>
    </w:p>
    <w:p w14:paraId="1837F989" w14:textId="77777777" w:rsidR="00CF154B" w:rsidRPr="00CF154B" w:rsidRDefault="00CF154B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 w:rsidRPr="00CF154B">
        <w:rPr>
          <w:sz w:val="24"/>
          <w:szCs w:val="24"/>
          <w:lang w:val="cs-CZ"/>
        </w:rPr>
        <w:t>Ředitele ASP jmenuje prezident USA na funkční období 7 let.</w:t>
      </w:r>
    </w:p>
    <w:p w14:paraId="366CC394" w14:textId="77777777" w:rsidR="00CF154B" w:rsidRPr="004E1169" w:rsidRDefault="00CF154B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 w:rsidRPr="00CF154B">
        <w:rPr>
          <w:sz w:val="24"/>
          <w:szCs w:val="24"/>
          <w:lang w:val="cs-CZ"/>
        </w:rPr>
        <w:t xml:space="preserve">ASP </w:t>
      </w:r>
      <w:r w:rsidR="001A123E">
        <w:rPr>
          <w:sz w:val="24"/>
          <w:szCs w:val="24"/>
          <w:lang w:val="cs-CZ"/>
        </w:rPr>
        <w:t xml:space="preserve">provádí dohled nad dodržováním tohoto zákona a </w:t>
      </w:r>
      <w:r w:rsidR="002049FB">
        <w:rPr>
          <w:sz w:val="24"/>
          <w:szCs w:val="24"/>
          <w:lang w:val="cs-CZ"/>
        </w:rPr>
        <w:t>ukládá pokuty dle tohoto zákona.</w:t>
      </w:r>
    </w:p>
    <w:p w14:paraId="0597D132" w14:textId="77777777" w:rsidR="004E1169" w:rsidRPr="004E1169" w:rsidRDefault="004E1169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 provádí soustavný výzkum na podporu snížení světelného znečištění.</w:t>
      </w:r>
    </w:p>
    <w:p w14:paraId="2C412922" w14:textId="77777777" w:rsidR="004E1169" w:rsidRPr="004E1169" w:rsidRDefault="004E1169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 spolupracuje s mezinárodními organizacemi zabývající se problematikou životního prostředí, zejména světelným znečištěním, konzultuje a sdílí své výsledky, aby bylo dosaženo nalezení celosvětové řešení problematiky světelného znečištění.</w:t>
      </w:r>
    </w:p>
    <w:p w14:paraId="5AD3B925" w14:textId="77777777" w:rsidR="00CF154B" w:rsidRPr="004E1169" w:rsidRDefault="00352829" w:rsidP="0067428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ASP </w:t>
      </w:r>
      <w:r w:rsidR="001A123E">
        <w:rPr>
          <w:sz w:val="24"/>
          <w:szCs w:val="24"/>
          <w:lang w:val="cs-CZ"/>
        </w:rPr>
        <w:t>podává</w:t>
      </w:r>
      <w:r>
        <w:rPr>
          <w:sz w:val="24"/>
          <w:szCs w:val="24"/>
          <w:lang w:val="cs-CZ"/>
        </w:rPr>
        <w:t xml:space="preserve"> jednou ročně zprávu s</w:t>
      </w:r>
      <w:r w:rsidR="00CF154B" w:rsidRPr="00CF154B">
        <w:rPr>
          <w:sz w:val="24"/>
          <w:szCs w:val="24"/>
          <w:lang w:val="cs-CZ"/>
        </w:rPr>
        <w:t>němovní</w:t>
      </w:r>
      <w:r>
        <w:rPr>
          <w:sz w:val="24"/>
          <w:szCs w:val="24"/>
          <w:lang w:val="cs-CZ"/>
        </w:rPr>
        <w:t>mu</w:t>
      </w:r>
      <w:r w:rsidR="00CF154B" w:rsidRPr="00CF154B">
        <w:rPr>
          <w:sz w:val="24"/>
          <w:szCs w:val="24"/>
          <w:lang w:val="cs-CZ"/>
        </w:rPr>
        <w:t xml:space="preserve"> Výbor</w:t>
      </w:r>
      <w:r>
        <w:rPr>
          <w:sz w:val="24"/>
          <w:szCs w:val="24"/>
          <w:lang w:val="cs-CZ"/>
        </w:rPr>
        <w:t>u pro přírodní zdroje, ve které bude hodnotit míru světelného znečištění</w:t>
      </w:r>
      <w:r w:rsidR="004E1169">
        <w:rPr>
          <w:sz w:val="24"/>
          <w:szCs w:val="24"/>
          <w:lang w:val="cs-CZ"/>
        </w:rPr>
        <w:t xml:space="preserve"> v USA</w:t>
      </w:r>
      <w:r>
        <w:rPr>
          <w:sz w:val="24"/>
          <w:szCs w:val="24"/>
          <w:lang w:val="cs-CZ"/>
        </w:rPr>
        <w:t xml:space="preserve">, účinnost opatření omezujících světelné znečištění, informace o </w:t>
      </w:r>
      <w:r w:rsidR="002049FB">
        <w:rPr>
          <w:sz w:val="24"/>
          <w:szCs w:val="24"/>
          <w:lang w:val="cs-CZ"/>
        </w:rPr>
        <w:t>dohledové a správní činnosti,</w:t>
      </w:r>
      <w:r>
        <w:rPr>
          <w:sz w:val="24"/>
          <w:szCs w:val="24"/>
          <w:lang w:val="cs-CZ"/>
        </w:rPr>
        <w:t xml:space="preserve"> </w:t>
      </w:r>
      <w:r w:rsidR="004E1169">
        <w:rPr>
          <w:sz w:val="24"/>
          <w:szCs w:val="24"/>
          <w:lang w:val="cs-CZ"/>
        </w:rPr>
        <w:t xml:space="preserve">výsledky výzkumu a spolupráce s mezinárodními organizacemi, </w:t>
      </w:r>
      <w:r>
        <w:rPr>
          <w:sz w:val="24"/>
          <w:szCs w:val="24"/>
          <w:lang w:val="cs-CZ"/>
        </w:rPr>
        <w:t>a případně bude činit doporučení pro lepší efektivitu omezování světelného znečištění.</w:t>
      </w:r>
    </w:p>
    <w:p w14:paraId="07729856" w14:textId="77777777" w:rsidR="00D638B1" w:rsidRPr="00AE47A7" w:rsidRDefault="00A462AD" w:rsidP="00674282">
      <w:pPr>
        <w:pStyle w:val="Heading1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Hlava </w:t>
      </w:r>
      <w:r w:rsidR="00CF154B">
        <w:rPr>
          <w:rFonts w:ascii="Times New Roman" w:hAnsi="Times New Roman" w:cs="Times New Roman"/>
        </w:rPr>
        <w:t xml:space="preserve">V </w:t>
      </w:r>
      <w:r w:rsidR="00D36B86">
        <w:rPr>
          <w:rFonts w:ascii="Times New Roman" w:hAnsi="Times New Roman" w:cs="Times New Roman"/>
        </w:rPr>
        <w:t>– Závěrečná</w:t>
      </w:r>
      <w:r w:rsidR="00D638B1" w:rsidRPr="00AE47A7">
        <w:rPr>
          <w:rFonts w:ascii="Times New Roman" w:hAnsi="Times New Roman" w:cs="Times New Roman"/>
        </w:rPr>
        <w:t xml:space="preserve"> ustanovení</w:t>
      </w:r>
    </w:p>
    <w:p w14:paraId="524AD131" w14:textId="77777777" w:rsidR="00D638B1" w:rsidRPr="00AE47A7" w:rsidRDefault="00A462AD" w:rsidP="0067428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5</w:t>
      </w:r>
      <w:r w:rsidR="00D638B1" w:rsidRPr="00AE47A7">
        <w:rPr>
          <w:b/>
          <w:sz w:val="24"/>
          <w:szCs w:val="24"/>
          <w:lang w:val="cs-CZ"/>
        </w:rPr>
        <w:t>01. Účinnost.</w:t>
      </w:r>
    </w:p>
    <w:p w14:paraId="1B481640" w14:textId="77777777" w:rsidR="004C30F1" w:rsidRPr="00D73A3A" w:rsidRDefault="00D638B1" w:rsidP="00674282">
      <w:pPr>
        <w:spacing w:after="120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>Tento zákon nabývá účinnosti d</w:t>
      </w:r>
      <w:r w:rsidR="00352829">
        <w:rPr>
          <w:sz w:val="24"/>
          <w:szCs w:val="24"/>
          <w:lang w:val="cs-CZ"/>
        </w:rPr>
        <w:t>nem 1. 1</w:t>
      </w:r>
      <w:r>
        <w:rPr>
          <w:sz w:val="24"/>
          <w:szCs w:val="24"/>
          <w:lang w:val="cs-CZ"/>
        </w:rPr>
        <w:t>. 2020</w:t>
      </w:r>
      <w:r w:rsidR="00352829">
        <w:rPr>
          <w:sz w:val="24"/>
          <w:szCs w:val="24"/>
          <w:lang w:val="cs-CZ"/>
        </w:rPr>
        <w:t>.</w:t>
      </w:r>
    </w:p>
    <w:sectPr w:rsidR="004C30F1" w:rsidRPr="00D73A3A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2226" w14:textId="77777777" w:rsidR="0019025D" w:rsidRDefault="0019025D" w:rsidP="00E14C9D">
      <w:pPr>
        <w:spacing w:after="0" w:line="240" w:lineRule="auto"/>
      </w:pPr>
      <w:r>
        <w:separator/>
      </w:r>
    </w:p>
  </w:endnote>
  <w:endnote w:type="continuationSeparator" w:id="0">
    <w:p w14:paraId="782EB86A" w14:textId="77777777" w:rsidR="0019025D" w:rsidRDefault="0019025D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C64598" w14:textId="77777777" w:rsidR="00FB51A4" w:rsidRDefault="0019025D">
    <w:pPr>
      <w:pStyle w:val="Footer"/>
    </w:pPr>
    <w:r>
      <w:rPr>
        <w:noProof/>
        <w:lang w:val="cs-CZ" w:eastAsia="cs-CZ" w:bidi="ar-SA"/>
      </w:rPr>
      <w:pict w14:anchorId="10EC7FE9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-71.65pt;margin-top:-12.3pt;width:595.5pt;height:42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IB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" filled="f" stroked="f">
          <v:textbox>
            <w:txbxContent>
              <w:p w14:paraId="2695D252" w14:textId="77777777" w:rsidR="0067530F" w:rsidRPr="002B5E0E" w:rsidRDefault="0067530F" w:rsidP="0067530F">
                <w:pPr>
                  <w:pStyle w:val="Patika"/>
                </w:pPr>
                <w:r w:rsidRPr="002B5E0E">
                  <w:t>Pro potřeby Českého</w:t>
                </w:r>
                <w:r>
                  <w:t xml:space="preserve"> modelu amerického kongresu 2018.</w:t>
                </w:r>
                <w:r>
                  <w:br/>
                  <w:t>© 2018</w:t>
                </w:r>
                <w:r w:rsidRPr="002B5E0E">
                  <w:t xml:space="preserve"> Centrum politických studií, z. s. | www.americkykongres.cz | info@americkykongres.cz</w:t>
                </w:r>
              </w:p>
              <w:p w14:paraId="5CB24B16" w14:textId="77777777" w:rsidR="00B35FF5" w:rsidRPr="00C30C46" w:rsidRDefault="00B35FF5" w:rsidP="00B35FF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</w:p>
              <w:p w14:paraId="3EF766C8" w14:textId="77777777"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BBAA" w14:textId="77777777" w:rsidR="0019025D" w:rsidRDefault="0019025D" w:rsidP="00E14C9D">
      <w:pPr>
        <w:spacing w:after="0" w:line="240" w:lineRule="auto"/>
      </w:pPr>
      <w:r>
        <w:separator/>
      </w:r>
    </w:p>
  </w:footnote>
  <w:footnote w:type="continuationSeparator" w:id="0">
    <w:p w14:paraId="03DCEE61" w14:textId="77777777" w:rsidR="0019025D" w:rsidRDefault="0019025D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03F20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04BA4787" wp14:editId="7956C5BB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227F7A" w14:textId="77777777" w:rsidR="00FB51A4" w:rsidRDefault="00FB51A4">
    <w:pPr>
      <w:pStyle w:val="Header"/>
      <w:rPr>
        <w:noProof/>
        <w:lang w:val="cs-CZ" w:bidi="ar-SA"/>
      </w:rPr>
    </w:pPr>
  </w:p>
  <w:p w14:paraId="39811E6C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7E5266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5BF3D38D" wp14:editId="3407B41F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C63"/>
    <w:multiLevelType w:val="hybridMultilevel"/>
    <w:tmpl w:val="9F949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3">
    <w:nsid w:val="160875E5"/>
    <w:multiLevelType w:val="hybridMultilevel"/>
    <w:tmpl w:val="264211B2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B348D"/>
    <w:multiLevelType w:val="hybridMultilevel"/>
    <w:tmpl w:val="73E47AFE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C291D"/>
    <w:multiLevelType w:val="hybridMultilevel"/>
    <w:tmpl w:val="32928638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0449E"/>
    <w:multiLevelType w:val="hybridMultilevel"/>
    <w:tmpl w:val="3BFC8F66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4260F"/>
    <w:multiLevelType w:val="hybridMultilevel"/>
    <w:tmpl w:val="9084AEA2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4FCC"/>
    <w:multiLevelType w:val="hybridMultilevel"/>
    <w:tmpl w:val="662ADC5A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D0D6F"/>
    <w:multiLevelType w:val="hybridMultilevel"/>
    <w:tmpl w:val="A6F6B3F0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D0366"/>
    <w:multiLevelType w:val="hybridMultilevel"/>
    <w:tmpl w:val="32928638"/>
    <w:lvl w:ilvl="0" w:tplc="4B7C40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10"/>
  </w:num>
  <w:num w:numId="5">
    <w:abstractNumId w:val="22"/>
  </w:num>
  <w:num w:numId="6">
    <w:abstractNumId w:val="9"/>
  </w:num>
  <w:num w:numId="7">
    <w:abstractNumId w:val="13"/>
  </w:num>
  <w:num w:numId="8">
    <w:abstractNumId w:val="25"/>
  </w:num>
  <w:num w:numId="9">
    <w:abstractNumId w:val="24"/>
  </w:num>
  <w:num w:numId="10">
    <w:abstractNumId w:val="17"/>
  </w:num>
  <w:num w:numId="11">
    <w:abstractNumId w:val="0"/>
  </w:num>
  <w:num w:numId="12">
    <w:abstractNumId w:val="26"/>
  </w:num>
  <w:num w:numId="13">
    <w:abstractNumId w:val="6"/>
  </w:num>
  <w:num w:numId="14">
    <w:abstractNumId w:val="7"/>
  </w:num>
  <w:num w:numId="15">
    <w:abstractNumId w:val="19"/>
  </w:num>
  <w:num w:numId="16">
    <w:abstractNumId w:val="20"/>
  </w:num>
  <w:num w:numId="17">
    <w:abstractNumId w:val="11"/>
  </w:num>
  <w:num w:numId="18">
    <w:abstractNumId w:val="2"/>
  </w:num>
  <w:num w:numId="19">
    <w:abstractNumId w:val="18"/>
  </w:num>
  <w:num w:numId="20">
    <w:abstractNumId w:val="12"/>
  </w:num>
  <w:num w:numId="21">
    <w:abstractNumId w:val="28"/>
  </w:num>
  <w:num w:numId="22">
    <w:abstractNumId w:val="27"/>
  </w:num>
  <w:num w:numId="23">
    <w:abstractNumId w:val="14"/>
  </w:num>
  <w:num w:numId="24">
    <w:abstractNumId w:val="3"/>
  </w:num>
  <w:num w:numId="25">
    <w:abstractNumId w:val="5"/>
  </w:num>
  <w:num w:numId="26">
    <w:abstractNumId w:val="21"/>
  </w:num>
  <w:num w:numId="27">
    <w:abstractNumId w:val="4"/>
  </w:num>
  <w:num w:numId="28">
    <w:abstractNumId w:val="15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013FC"/>
    <w:rsid w:val="00045B4D"/>
    <w:rsid w:val="00047B7E"/>
    <w:rsid w:val="00050369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2F18"/>
    <w:rsid w:val="000C7581"/>
    <w:rsid w:val="000E2B92"/>
    <w:rsid w:val="000E5143"/>
    <w:rsid w:val="00122771"/>
    <w:rsid w:val="00134301"/>
    <w:rsid w:val="00137352"/>
    <w:rsid w:val="0015528C"/>
    <w:rsid w:val="00170529"/>
    <w:rsid w:val="001754C6"/>
    <w:rsid w:val="0019025D"/>
    <w:rsid w:val="00190E0B"/>
    <w:rsid w:val="001A0244"/>
    <w:rsid w:val="001A123E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049FB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759B4"/>
    <w:rsid w:val="00280FA0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59E2"/>
    <w:rsid w:val="002F69A8"/>
    <w:rsid w:val="002F7E3A"/>
    <w:rsid w:val="00301A8F"/>
    <w:rsid w:val="003124E1"/>
    <w:rsid w:val="00332527"/>
    <w:rsid w:val="00337209"/>
    <w:rsid w:val="00347CF5"/>
    <w:rsid w:val="00352829"/>
    <w:rsid w:val="003548C2"/>
    <w:rsid w:val="00355D3D"/>
    <w:rsid w:val="0035741A"/>
    <w:rsid w:val="0036225B"/>
    <w:rsid w:val="003705C7"/>
    <w:rsid w:val="00370696"/>
    <w:rsid w:val="003819EA"/>
    <w:rsid w:val="00383BF3"/>
    <w:rsid w:val="0038657B"/>
    <w:rsid w:val="003942E6"/>
    <w:rsid w:val="0039705D"/>
    <w:rsid w:val="003A4F6F"/>
    <w:rsid w:val="003A7812"/>
    <w:rsid w:val="003C022A"/>
    <w:rsid w:val="003C0346"/>
    <w:rsid w:val="003C0753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1495"/>
    <w:rsid w:val="004643FB"/>
    <w:rsid w:val="004675FC"/>
    <w:rsid w:val="004713F2"/>
    <w:rsid w:val="00471934"/>
    <w:rsid w:val="00484E8F"/>
    <w:rsid w:val="0049162D"/>
    <w:rsid w:val="00495F8A"/>
    <w:rsid w:val="0049741A"/>
    <w:rsid w:val="004A2408"/>
    <w:rsid w:val="004A38FE"/>
    <w:rsid w:val="004A6CB8"/>
    <w:rsid w:val="004B7EDD"/>
    <w:rsid w:val="004C30F1"/>
    <w:rsid w:val="004C51EC"/>
    <w:rsid w:val="004E1169"/>
    <w:rsid w:val="004F0334"/>
    <w:rsid w:val="004F0C55"/>
    <w:rsid w:val="004F32E4"/>
    <w:rsid w:val="004F4821"/>
    <w:rsid w:val="004F4C00"/>
    <w:rsid w:val="004F5300"/>
    <w:rsid w:val="004F6633"/>
    <w:rsid w:val="00503927"/>
    <w:rsid w:val="005142B2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2BB1"/>
    <w:rsid w:val="005771DC"/>
    <w:rsid w:val="0058093B"/>
    <w:rsid w:val="00594CBF"/>
    <w:rsid w:val="00595C1B"/>
    <w:rsid w:val="005A13AF"/>
    <w:rsid w:val="005A2032"/>
    <w:rsid w:val="005A5CA7"/>
    <w:rsid w:val="005A6CBF"/>
    <w:rsid w:val="005B259A"/>
    <w:rsid w:val="005C368A"/>
    <w:rsid w:val="006046D5"/>
    <w:rsid w:val="00607618"/>
    <w:rsid w:val="006108CA"/>
    <w:rsid w:val="00613761"/>
    <w:rsid w:val="00616736"/>
    <w:rsid w:val="00617946"/>
    <w:rsid w:val="006457BF"/>
    <w:rsid w:val="00651695"/>
    <w:rsid w:val="0067306D"/>
    <w:rsid w:val="006737AF"/>
    <w:rsid w:val="00674282"/>
    <w:rsid w:val="0067530F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47C0A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7F5967"/>
    <w:rsid w:val="008079C2"/>
    <w:rsid w:val="0081578B"/>
    <w:rsid w:val="008208B6"/>
    <w:rsid w:val="00835750"/>
    <w:rsid w:val="008454B8"/>
    <w:rsid w:val="00852037"/>
    <w:rsid w:val="008558FD"/>
    <w:rsid w:val="00855FB6"/>
    <w:rsid w:val="00857F89"/>
    <w:rsid w:val="00863CB7"/>
    <w:rsid w:val="008726C7"/>
    <w:rsid w:val="00877047"/>
    <w:rsid w:val="00894CA8"/>
    <w:rsid w:val="008A1A15"/>
    <w:rsid w:val="008A5E23"/>
    <w:rsid w:val="008A6AD9"/>
    <w:rsid w:val="008B3E3B"/>
    <w:rsid w:val="008B53A8"/>
    <w:rsid w:val="008C1951"/>
    <w:rsid w:val="008C499E"/>
    <w:rsid w:val="008E4DAD"/>
    <w:rsid w:val="008E7D8C"/>
    <w:rsid w:val="008F7060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39AE"/>
    <w:rsid w:val="00944CC9"/>
    <w:rsid w:val="0095694D"/>
    <w:rsid w:val="00966501"/>
    <w:rsid w:val="00967B85"/>
    <w:rsid w:val="009752C9"/>
    <w:rsid w:val="00981C9B"/>
    <w:rsid w:val="00983590"/>
    <w:rsid w:val="00987BA5"/>
    <w:rsid w:val="00992EA5"/>
    <w:rsid w:val="00993E79"/>
    <w:rsid w:val="0099410B"/>
    <w:rsid w:val="00996B08"/>
    <w:rsid w:val="009A2BF6"/>
    <w:rsid w:val="009A4AA3"/>
    <w:rsid w:val="009B49D5"/>
    <w:rsid w:val="009C476B"/>
    <w:rsid w:val="009D7776"/>
    <w:rsid w:val="009E553E"/>
    <w:rsid w:val="009E5947"/>
    <w:rsid w:val="009F448E"/>
    <w:rsid w:val="00A03253"/>
    <w:rsid w:val="00A11211"/>
    <w:rsid w:val="00A11A8A"/>
    <w:rsid w:val="00A1365D"/>
    <w:rsid w:val="00A14214"/>
    <w:rsid w:val="00A23E9D"/>
    <w:rsid w:val="00A265EA"/>
    <w:rsid w:val="00A364B8"/>
    <w:rsid w:val="00A407A2"/>
    <w:rsid w:val="00A415D1"/>
    <w:rsid w:val="00A425A8"/>
    <w:rsid w:val="00A42DB9"/>
    <w:rsid w:val="00A449E8"/>
    <w:rsid w:val="00A462AD"/>
    <w:rsid w:val="00A506E3"/>
    <w:rsid w:val="00A5366F"/>
    <w:rsid w:val="00A54EFD"/>
    <w:rsid w:val="00A779B2"/>
    <w:rsid w:val="00A846B3"/>
    <w:rsid w:val="00A913DA"/>
    <w:rsid w:val="00A9330F"/>
    <w:rsid w:val="00AA5381"/>
    <w:rsid w:val="00AB3571"/>
    <w:rsid w:val="00AC037B"/>
    <w:rsid w:val="00AC29AD"/>
    <w:rsid w:val="00AC4391"/>
    <w:rsid w:val="00AD0CF5"/>
    <w:rsid w:val="00AD4F56"/>
    <w:rsid w:val="00AE47A7"/>
    <w:rsid w:val="00AE59F4"/>
    <w:rsid w:val="00AE6C80"/>
    <w:rsid w:val="00AF2748"/>
    <w:rsid w:val="00B247FF"/>
    <w:rsid w:val="00B24C88"/>
    <w:rsid w:val="00B35FF5"/>
    <w:rsid w:val="00B44FF0"/>
    <w:rsid w:val="00B51827"/>
    <w:rsid w:val="00B52195"/>
    <w:rsid w:val="00B55141"/>
    <w:rsid w:val="00B65198"/>
    <w:rsid w:val="00B675C8"/>
    <w:rsid w:val="00B709AF"/>
    <w:rsid w:val="00B8634C"/>
    <w:rsid w:val="00B95E82"/>
    <w:rsid w:val="00BA1701"/>
    <w:rsid w:val="00BA7EC7"/>
    <w:rsid w:val="00BB3D7C"/>
    <w:rsid w:val="00BB6733"/>
    <w:rsid w:val="00BD50C3"/>
    <w:rsid w:val="00BD55BB"/>
    <w:rsid w:val="00BE26A4"/>
    <w:rsid w:val="00BE562C"/>
    <w:rsid w:val="00BF6410"/>
    <w:rsid w:val="00C00E92"/>
    <w:rsid w:val="00C02084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54B"/>
    <w:rsid w:val="00CF188C"/>
    <w:rsid w:val="00D01918"/>
    <w:rsid w:val="00D245DF"/>
    <w:rsid w:val="00D30F39"/>
    <w:rsid w:val="00D35CD6"/>
    <w:rsid w:val="00D36B86"/>
    <w:rsid w:val="00D41361"/>
    <w:rsid w:val="00D44148"/>
    <w:rsid w:val="00D638B1"/>
    <w:rsid w:val="00D657F3"/>
    <w:rsid w:val="00D73A3A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2AE"/>
    <w:rsid w:val="00DE55B6"/>
    <w:rsid w:val="00DF30D6"/>
    <w:rsid w:val="00DF354D"/>
    <w:rsid w:val="00DF3B9C"/>
    <w:rsid w:val="00DF68A9"/>
    <w:rsid w:val="00E00CFC"/>
    <w:rsid w:val="00E13A4C"/>
    <w:rsid w:val="00E14C9D"/>
    <w:rsid w:val="00E21DFC"/>
    <w:rsid w:val="00E2640E"/>
    <w:rsid w:val="00E27F0E"/>
    <w:rsid w:val="00E3374A"/>
    <w:rsid w:val="00E33E64"/>
    <w:rsid w:val="00E43B0F"/>
    <w:rsid w:val="00E56E03"/>
    <w:rsid w:val="00E603CD"/>
    <w:rsid w:val="00E67010"/>
    <w:rsid w:val="00E76268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366C0"/>
    <w:rsid w:val="00F37434"/>
    <w:rsid w:val="00F4225A"/>
    <w:rsid w:val="00F450CB"/>
    <w:rsid w:val="00F52752"/>
    <w:rsid w:val="00F733F4"/>
    <w:rsid w:val="00F73EC6"/>
    <w:rsid w:val="00F805CD"/>
    <w:rsid w:val="00F86F4E"/>
    <w:rsid w:val="00F93FD9"/>
    <w:rsid w:val="00FA1905"/>
    <w:rsid w:val="00FA3D98"/>
    <w:rsid w:val="00FA40DF"/>
    <w:rsid w:val="00FA7961"/>
    <w:rsid w:val="00FB51A4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53330"/>
  <w15:docId w15:val="{AF066AE6-5C75-4F59-9113-E0D5E00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B35FF5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lang w:val="cs-CZ"/>
    </w:rPr>
  </w:style>
  <w:style w:type="character" w:customStyle="1" w:styleId="PatikaChar">
    <w:name w:val="Patička Char"/>
    <w:basedOn w:val="DefaultParagraphFont"/>
    <w:link w:val="Patika"/>
    <w:rsid w:val="00B35FF5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7" ma:contentTypeDescription="Vytvoří nový dokument" ma:contentTypeScope="" ma:versionID="73f3769f23b2cd11641eeee4883e3df2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e87770ff5ca18bda2ea669c6c0e486fb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F8EB-64B3-4803-9319-0513BA0B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3F308-E6DC-0E4E-95EA-1969821B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764</Words>
  <Characters>4413</Characters>
  <Application>Microsoft Macintosh Word</Application>
  <DocSecurity>0</DocSecurity>
  <Lines>110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58</cp:revision>
  <dcterms:created xsi:type="dcterms:W3CDTF">2017-02-04T19:37:00Z</dcterms:created>
  <dcterms:modified xsi:type="dcterms:W3CDTF">2018-08-29T09:31:00Z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