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5" w:rsidRPr="00814C95" w:rsidRDefault="00814C95" w:rsidP="000E287F">
      <w:pPr>
        <w:pStyle w:val="Nadpis1"/>
        <w:rPr>
          <w:sz w:val="24"/>
        </w:rPr>
      </w:pPr>
      <w:r w:rsidRPr="00814C95">
        <w:rPr>
          <w:rFonts w:eastAsia="Tahoma"/>
          <w:iCs/>
          <w:sz w:val="24"/>
        </w:rPr>
        <w:t>H. R. 6452</w:t>
      </w:r>
    </w:p>
    <w:p w:rsidR="00814C95" w:rsidRPr="00814C95" w:rsidRDefault="00814C95" w:rsidP="000E287F">
      <w:pPr>
        <w:pStyle w:val="Nadpis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 xml:space="preserve">Výbor: Výbor pro </w:t>
      </w:r>
      <w:r w:rsidR="00BE55EC">
        <w:rPr>
          <w:b w:val="0"/>
          <w:sz w:val="24"/>
        </w:rPr>
        <w:t>zahraniční vztahy</w:t>
      </w:r>
    </w:p>
    <w:p w:rsidR="00814C95" w:rsidRDefault="00814C95" w:rsidP="000E287F">
      <w:pPr>
        <w:pStyle w:val="Nadpis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="00BE55EC" w:rsidRPr="00D474D0">
        <w:rPr>
          <w:rFonts w:eastAsia="Tahoma"/>
          <w:iCs/>
          <w:sz w:val="24"/>
        </w:rPr>
        <w:t xml:space="preserve">Přístup Kongresu USA k </w:t>
      </w:r>
      <w:r w:rsidR="00BE55EC">
        <w:rPr>
          <w:rFonts w:eastAsia="Tahoma"/>
          <w:iCs/>
          <w:sz w:val="24"/>
        </w:rPr>
        <w:t>zemím</w:t>
      </w:r>
      <w:r w:rsidR="00BE55EC" w:rsidRPr="00D474D0">
        <w:rPr>
          <w:rFonts w:eastAsia="Tahoma"/>
          <w:iCs/>
          <w:sz w:val="24"/>
        </w:rPr>
        <w:t xml:space="preserve"> Afriky</w:t>
      </w:r>
    </w:p>
    <w:p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:rsidR="001B3769" w:rsidRPr="00814C95" w:rsidRDefault="00DE5896" w:rsidP="000E287F">
      <w:pPr>
        <w:pStyle w:val="Nadpis1"/>
        <w:rPr>
          <w:sz w:val="28"/>
        </w:rPr>
      </w:pPr>
      <w:r w:rsidRPr="00814C95">
        <w:rPr>
          <w:sz w:val="28"/>
        </w:rPr>
        <w:t>Obecná část</w:t>
      </w:r>
    </w:p>
    <w:p w:rsidR="00683AB7" w:rsidRDefault="00FA40DF" w:rsidP="003D1101">
      <w:pPr>
        <w:rPr>
          <w:lang w:val="cs-CZ"/>
        </w:rPr>
      </w:pPr>
      <w:r w:rsidRPr="00AE47A7">
        <w:rPr>
          <w:lang w:val="cs-CZ"/>
        </w:rPr>
        <w:t xml:space="preserve">Tento zákon </w:t>
      </w:r>
      <w:bookmarkStart w:id="0" w:name="_GoBack"/>
      <w:bookmarkEnd w:id="0"/>
      <w:r w:rsidR="003D1101">
        <w:rPr>
          <w:lang w:val="cs-CZ"/>
        </w:rPr>
        <w:t xml:space="preserve">určuje budoucí přístup k zemím Střední a východní afriky. Omezuje dosavadní americkou angažovanost v regionu a mění parametry pro vztah k jednotlivým státům. Primárním kritériem pro definici země jako přátelské, neutrální či nepřátelské se stane postoj státu k americkým geopolitickým a ekonomickým zájmům. Ustanovuje také komisi, která se bude kategorizací států zabývat. </w:t>
      </w:r>
    </w:p>
    <w:p w:rsidR="00DE5896" w:rsidRPr="00814C95" w:rsidRDefault="00DE5896" w:rsidP="000E287F">
      <w:pPr>
        <w:pStyle w:val="Nadpis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:rsidR="00705D29" w:rsidRPr="00642088" w:rsidRDefault="00DE5896" w:rsidP="000E287F">
      <w:pPr>
        <w:pStyle w:val="Nadpis2"/>
        <w:rPr>
          <w:lang w:val="cs-CZ"/>
        </w:rPr>
      </w:pPr>
      <w:r w:rsidRPr="00DE5896">
        <w:rPr>
          <w:lang w:val="cs-CZ"/>
        </w:rPr>
        <w:t>Hlava I</w:t>
      </w:r>
    </w:p>
    <w:p w:rsidR="00642088" w:rsidRDefault="00642088" w:rsidP="00642088">
      <w:pPr>
        <w:rPr>
          <w:lang w:val="cs-CZ"/>
        </w:rPr>
      </w:pPr>
      <w:r w:rsidRPr="00642088">
        <w:rPr>
          <w:lang w:val="cs-CZ"/>
        </w:rPr>
        <w:t xml:space="preserve">Hlava I hovoří </w:t>
      </w:r>
      <w:r w:rsidR="000E287F">
        <w:rPr>
          <w:lang w:val="cs-CZ"/>
        </w:rPr>
        <w:t xml:space="preserve">o úvodních ustanoveních, které jsou pak dále používány. Stanovuje </w:t>
      </w:r>
      <w:r w:rsidR="003D1101">
        <w:rPr>
          <w:lang w:val="cs-CZ"/>
        </w:rPr>
        <w:t>definice, které jsou dále užity v ostatních částech zákona-</w:t>
      </w:r>
    </w:p>
    <w:p w:rsidR="00814C95" w:rsidRPr="00814C95" w:rsidRDefault="00642088" w:rsidP="00814C95">
      <w:pPr>
        <w:spacing w:before="240" w:after="0" w:line="360" w:lineRule="auto"/>
        <w:rPr>
          <w:szCs w:val="24"/>
          <w:u w:val="single"/>
          <w:lang w:val="cs-CZ"/>
        </w:rPr>
      </w:pPr>
      <w:r w:rsidRPr="00814C95">
        <w:rPr>
          <w:b/>
          <w:szCs w:val="24"/>
          <w:u w:val="single"/>
          <w:lang w:val="cs-CZ"/>
        </w:rPr>
        <w:t xml:space="preserve">Par. 101. </w:t>
      </w:r>
    </w:p>
    <w:p w:rsidR="00642088" w:rsidRPr="00814C95" w:rsidRDefault="003D1101" w:rsidP="00814C95">
      <w:pPr>
        <w:spacing w:before="240" w:after="0" w:line="360" w:lineRule="auto"/>
        <w:rPr>
          <w:szCs w:val="24"/>
          <w:lang w:val="cs-CZ"/>
        </w:rPr>
      </w:pPr>
      <w:r>
        <w:rPr>
          <w:lang w:val="cs-CZ"/>
        </w:rPr>
        <w:t xml:space="preserve">Tento paragraf </w:t>
      </w:r>
      <w:r w:rsidR="00642088" w:rsidRPr="00642088">
        <w:rPr>
          <w:lang w:val="cs-CZ"/>
        </w:rPr>
        <w:t xml:space="preserve">hovoří o </w:t>
      </w:r>
      <w:r>
        <w:rPr>
          <w:lang w:val="cs-CZ"/>
        </w:rPr>
        <w:t xml:space="preserve">nových kategoriích, do kterých budou </w:t>
      </w:r>
      <w:r w:rsidR="00BE55EC">
        <w:rPr>
          <w:lang w:val="cs-CZ"/>
        </w:rPr>
        <w:t xml:space="preserve">africké státy </w:t>
      </w:r>
      <w:r>
        <w:rPr>
          <w:lang w:val="cs-CZ"/>
        </w:rPr>
        <w:t>rozčleněny.  Určuje kritéria, pro toto konkrétní roztřídění. Tato kritéria se týkají zejména podpory amerických bezpečnostních a ekonomických zájmů.</w:t>
      </w:r>
    </w:p>
    <w:p w:rsidR="00642088" w:rsidRDefault="00642088" w:rsidP="001A65B3">
      <w:pPr>
        <w:pStyle w:val="Nadpis2"/>
        <w:rPr>
          <w:lang w:val="cs-CZ"/>
        </w:rPr>
      </w:pPr>
      <w:r>
        <w:rPr>
          <w:lang w:val="cs-CZ"/>
        </w:rPr>
        <w:t>Hlava II</w:t>
      </w:r>
    </w:p>
    <w:p w:rsidR="000E287F" w:rsidRPr="000E287F" w:rsidRDefault="000E287F" w:rsidP="000E287F">
      <w:pPr>
        <w:rPr>
          <w:lang w:val="cs-CZ"/>
        </w:rPr>
      </w:pPr>
      <w:r>
        <w:rPr>
          <w:lang w:val="cs-CZ"/>
        </w:rPr>
        <w:t xml:space="preserve">Hlava II řeší </w:t>
      </w:r>
      <w:r w:rsidR="003D1101">
        <w:rPr>
          <w:lang w:val="cs-CZ"/>
        </w:rPr>
        <w:t xml:space="preserve">zřízení komise, která se bude zabývat rozčleněním států střední a východní afriky do </w:t>
      </w:r>
    </w:p>
    <w:p w:rsidR="00814C95" w:rsidRDefault="00642088" w:rsidP="00642088">
      <w:pPr>
        <w:rPr>
          <w:b/>
          <w:lang w:val="cs-CZ"/>
        </w:rPr>
      </w:pPr>
      <w:r w:rsidRPr="00814C95">
        <w:rPr>
          <w:b/>
          <w:u w:val="single"/>
          <w:lang w:val="cs-CZ"/>
        </w:rPr>
        <w:t>Par. 201.</w:t>
      </w:r>
      <w:r w:rsidR="0005189B">
        <w:rPr>
          <w:b/>
          <w:lang w:val="cs-CZ"/>
        </w:rPr>
        <w:t xml:space="preserve"> </w:t>
      </w:r>
    </w:p>
    <w:p w:rsidR="00BE55EC" w:rsidRPr="00BE55EC" w:rsidRDefault="00BE55EC" w:rsidP="00642088">
      <w:pPr>
        <w:rPr>
          <w:lang w:val="cs-CZ"/>
        </w:rPr>
      </w:pPr>
      <w:r w:rsidRPr="00BE55EC">
        <w:rPr>
          <w:lang w:val="cs-CZ"/>
        </w:rPr>
        <w:t xml:space="preserve">Tento paragraf řeší </w:t>
      </w:r>
      <w:r>
        <w:rPr>
          <w:lang w:val="cs-CZ"/>
        </w:rPr>
        <w:t>podrobnosti o složení a pravomocích komise.</w:t>
      </w:r>
    </w:p>
    <w:p w:rsidR="00642088" w:rsidRDefault="00642088" w:rsidP="000E287F">
      <w:pPr>
        <w:pStyle w:val="Nadpis2"/>
        <w:rPr>
          <w:lang w:val="cs-CZ"/>
        </w:rPr>
      </w:pPr>
      <w:r>
        <w:rPr>
          <w:lang w:val="cs-CZ"/>
        </w:rPr>
        <w:lastRenderedPageBreak/>
        <w:t>Hlava III</w:t>
      </w:r>
    </w:p>
    <w:p w:rsidR="00D8133A" w:rsidRPr="00D8133A" w:rsidRDefault="00D8133A" w:rsidP="00D8133A">
      <w:pPr>
        <w:rPr>
          <w:lang w:val="cs-CZ"/>
        </w:rPr>
      </w:pPr>
      <w:r>
        <w:rPr>
          <w:lang w:val="cs-CZ"/>
        </w:rPr>
        <w:t xml:space="preserve">Tato hlava v jednotlivých paragrafech zastavuje podporu všem států, které Komise označí za rizikový. Státům, které Komise označí za neutrální nebo přátelské podporu omezí. Dále také ruší program </w:t>
      </w:r>
      <w:proofErr w:type="spellStart"/>
      <w:r>
        <w:rPr>
          <w:lang w:val="cs-CZ"/>
        </w:rPr>
        <w:t>Power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Africa</w:t>
      </w:r>
      <w:proofErr w:type="spellEnd"/>
      <w:r>
        <w:rPr>
          <w:lang w:val="cs-CZ"/>
        </w:rPr>
        <w:t xml:space="preserve">. </w:t>
      </w:r>
    </w:p>
    <w:p w:rsidR="00D8133A" w:rsidRDefault="00D8133A" w:rsidP="00D8133A">
      <w:pPr>
        <w:pStyle w:val="Nadpis2"/>
        <w:rPr>
          <w:lang w:val="cs-CZ"/>
        </w:rPr>
      </w:pPr>
      <w:r>
        <w:rPr>
          <w:lang w:val="cs-CZ"/>
        </w:rPr>
        <w:t>Hlava IV</w:t>
      </w:r>
    </w:p>
    <w:p w:rsidR="00D8133A" w:rsidRDefault="00D8133A" w:rsidP="00925354">
      <w:pPr>
        <w:rPr>
          <w:bCs/>
          <w:lang w:val="cs-CZ"/>
        </w:rPr>
      </w:pPr>
      <w:r>
        <w:rPr>
          <w:bCs/>
          <w:lang w:val="cs-CZ"/>
        </w:rPr>
        <w:t>Hlava čtvrtá se zabývá bezpečnostní situací v regionu.</w:t>
      </w:r>
    </w:p>
    <w:p w:rsidR="00D8133A" w:rsidRDefault="00D8133A" w:rsidP="00D8133A">
      <w:pPr>
        <w:rPr>
          <w:lang w:val="cs-CZ"/>
        </w:rPr>
      </w:pPr>
      <w:r w:rsidRPr="00814C95">
        <w:rPr>
          <w:b/>
          <w:u w:val="single"/>
          <w:lang w:val="cs-CZ"/>
        </w:rPr>
        <w:t xml:space="preserve">Par. </w:t>
      </w:r>
      <w:r>
        <w:rPr>
          <w:b/>
          <w:u w:val="single"/>
          <w:lang w:val="cs-CZ"/>
        </w:rPr>
        <w:t>4</w:t>
      </w:r>
      <w:r w:rsidRPr="00814C95">
        <w:rPr>
          <w:b/>
          <w:u w:val="single"/>
          <w:lang w:val="cs-CZ"/>
        </w:rPr>
        <w:t>01.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Paragraf vyjadřuje podporu Africké unii v boji proti organizaci </w:t>
      </w:r>
      <w:proofErr w:type="spellStart"/>
      <w:r>
        <w:rPr>
          <w:lang w:val="cs-CZ"/>
        </w:rPr>
        <w:t>Al</w:t>
      </w:r>
      <w:proofErr w:type="spellEnd"/>
      <w:r>
        <w:rPr>
          <w:lang w:val="cs-CZ"/>
        </w:rPr>
        <w:t>-</w:t>
      </w:r>
      <w:proofErr w:type="spellStart"/>
      <w:r>
        <w:rPr>
          <w:lang w:val="cs-CZ"/>
        </w:rPr>
        <w:t>Shababa</w:t>
      </w:r>
      <w:proofErr w:type="spellEnd"/>
    </w:p>
    <w:p w:rsidR="00D8133A" w:rsidRDefault="00D8133A" w:rsidP="00D8133A">
      <w:pPr>
        <w:rPr>
          <w:lang w:val="cs-CZ"/>
        </w:rPr>
      </w:pPr>
      <w:r w:rsidRPr="00814C95">
        <w:rPr>
          <w:b/>
          <w:u w:val="single"/>
          <w:lang w:val="cs-CZ"/>
        </w:rPr>
        <w:t xml:space="preserve">Par. </w:t>
      </w:r>
      <w:r>
        <w:rPr>
          <w:b/>
          <w:u w:val="single"/>
          <w:lang w:val="cs-CZ"/>
        </w:rPr>
        <w:t>4</w:t>
      </w:r>
      <w:r w:rsidRPr="00814C95">
        <w:rPr>
          <w:b/>
          <w:u w:val="single"/>
          <w:lang w:val="cs-CZ"/>
        </w:rPr>
        <w:t>0</w:t>
      </w:r>
      <w:r>
        <w:rPr>
          <w:b/>
          <w:u w:val="single"/>
          <w:lang w:val="cs-CZ"/>
        </w:rPr>
        <w:t>2</w:t>
      </w:r>
      <w:r>
        <w:rPr>
          <w:lang w:val="cs-CZ"/>
        </w:rPr>
        <w:t xml:space="preserve"> Paragraf navyšuje rozpočet mise </w:t>
      </w:r>
      <w:proofErr w:type="spellStart"/>
      <w:r>
        <w:rPr>
          <w:lang w:val="cs-CZ"/>
        </w:rPr>
        <w:t>United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States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Africa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Command</w:t>
      </w:r>
      <w:proofErr w:type="spellEnd"/>
      <w:r>
        <w:rPr>
          <w:lang w:val="cs-CZ"/>
        </w:rPr>
        <w:t>, která se zabývá bojem proti terorismu ve Východní Africe</w:t>
      </w:r>
    </w:p>
    <w:p w:rsidR="00D8133A" w:rsidRDefault="00D8133A" w:rsidP="00D8133A">
      <w:pPr>
        <w:rPr>
          <w:lang w:val="cs-CZ"/>
        </w:rPr>
      </w:pPr>
      <w:r w:rsidRPr="00814C95">
        <w:rPr>
          <w:b/>
          <w:u w:val="single"/>
          <w:lang w:val="cs-CZ"/>
        </w:rPr>
        <w:t xml:space="preserve">Par. </w:t>
      </w:r>
      <w:r>
        <w:rPr>
          <w:b/>
          <w:u w:val="single"/>
          <w:lang w:val="cs-CZ"/>
        </w:rPr>
        <w:t>4</w:t>
      </w:r>
      <w:r w:rsidRPr="00814C95">
        <w:rPr>
          <w:b/>
          <w:u w:val="single"/>
          <w:lang w:val="cs-CZ"/>
        </w:rPr>
        <w:t>0</w:t>
      </w:r>
      <w:r>
        <w:rPr>
          <w:b/>
          <w:u w:val="single"/>
          <w:lang w:val="cs-CZ"/>
        </w:rPr>
        <w:t>3</w:t>
      </w:r>
      <w:r w:rsidRPr="00814C95">
        <w:rPr>
          <w:b/>
          <w:u w:val="single"/>
          <w:lang w:val="cs-CZ"/>
        </w:rPr>
        <w:t>.</w:t>
      </w:r>
      <w:r>
        <w:rPr>
          <w:lang w:val="cs-CZ"/>
        </w:rPr>
        <w:t xml:space="preserve"> Tímto paragrafem se Spojené státy zavazují plně respektovat formu vlády i státní zřízení u všech států, které Komise zařadí do kategorie Přátelské státy.</w:t>
      </w:r>
    </w:p>
    <w:p w:rsidR="00D8133A" w:rsidRPr="00D8133A" w:rsidRDefault="00D8133A" w:rsidP="00D8133A">
      <w:pPr>
        <w:rPr>
          <w:lang w:val="cs-CZ"/>
        </w:rPr>
      </w:pPr>
    </w:p>
    <w:p w:rsidR="00D8133A" w:rsidRDefault="00D8133A" w:rsidP="00D8133A">
      <w:pPr>
        <w:pStyle w:val="Nadpis2"/>
        <w:rPr>
          <w:lang w:val="cs-CZ"/>
        </w:rPr>
      </w:pPr>
      <w:r>
        <w:rPr>
          <w:lang w:val="cs-CZ"/>
        </w:rPr>
        <w:t>Hlava V</w:t>
      </w:r>
    </w:p>
    <w:p w:rsidR="00D8133A" w:rsidRDefault="00D8133A" w:rsidP="00D8133A">
      <w:pPr>
        <w:rPr>
          <w:rStyle w:val="Siln"/>
          <w:b w:val="0"/>
          <w:lang w:val="cs-CZ"/>
        </w:rPr>
      </w:pPr>
      <w:r>
        <w:rPr>
          <w:rStyle w:val="Siln"/>
          <w:b w:val="0"/>
          <w:lang w:val="cs-CZ"/>
        </w:rPr>
        <w:t>Stanovuje datum účinnosti s dostatečnou časovou rezervou a další závěrečná ustanovení.</w:t>
      </w:r>
    </w:p>
    <w:p w:rsidR="00D8133A" w:rsidRPr="00925354" w:rsidRDefault="00D8133A" w:rsidP="00925354">
      <w:pPr>
        <w:rPr>
          <w:bCs/>
          <w:lang w:val="cs-CZ"/>
        </w:rPr>
      </w:pPr>
    </w:p>
    <w:sectPr w:rsidR="00D8133A" w:rsidRPr="00925354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8F" w:rsidRDefault="002D698F" w:rsidP="00E14C9D">
      <w:pPr>
        <w:spacing w:after="0" w:line="240" w:lineRule="auto"/>
      </w:pPr>
      <w:r>
        <w:separator/>
      </w:r>
    </w:p>
  </w:endnote>
  <w:endnote w:type="continuationSeparator" w:id="0">
    <w:p w:rsidR="002D698F" w:rsidRDefault="002D698F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A4" w:rsidRDefault="003F56B6">
    <w:pPr>
      <w:pStyle w:val="Zpat"/>
    </w:pPr>
    <w:r>
      <w:rPr>
        <w:noProof/>
        <w:lang w:val="cs-CZ" w:eastAsia="cs-CZ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71.8pt;margin-top:-12.3pt;width:595.5pt;height:35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<v:textbox>
            <w:txbxContent>
              <w:p w:rsidR="00FB51A4" w:rsidRPr="00C30C46" w:rsidRDefault="00FB51A4" w:rsidP="00D82D95">
                <w:pPr>
                  <w:jc w:val="center"/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</w:pP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Pro potřeby Čes</w:t>
                </w:r>
                <w:r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kého modelu amerického Kongresu Tomáš Jančar</w:t>
                </w:r>
                <w:r w:rsidR="005648BA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.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br/>
                  <w:t>© CSDP 201</w:t>
                </w:r>
                <w:r w:rsidR="005648BA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>7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  <w:lang w:val="cs-CZ"/>
                  </w:rPr>
                  <w:t xml:space="preserve"> – www.americkykongres.cz – </w:t>
                </w:r>
                <w:r w:rsidRPr="00C30C46">
                  <w:rPr>
                    <w:rFonts w:ascii="Arial" w:hAnsi="Arial" w:cs="Arial"/>
                    <w:color w:val="404040"/>
                    <w:sz w:val="18"/>
                    <w:szCs w:val="18"/>
                  </w:rPr>
                  <w:t>americkykongres@americkykongres.cz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8F" w:rsidRDefault="002D698F" w:rsidP="00E14C9D">
      <w:pPr>
        <w:spacing w:after="0" w:line="240" w:lineRule="auto"/>
      </w:pPr>
      <w:r>
        <w:separator/>
      </w:r>
    </w:p>
  </w:footnote>
  <w:footnote w:type="continuationSeparator" w:id="0">
    <w:p w:rsidR="002D698F" w:rsidRDefault="002D698F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A4" w:rsidRDefault="00FB51A4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51A4" w:rsidRDefault="00FB51A4">
    <w:pPr>
      <w:pStyle w:val="Zhlav"/>
      <w:rPr>
        <w:noProof/>
        <w:lang w:val="cs-CZ" w:bidi="ar-SA"/>
      </w:rPr>
    </w:pPr>
  </w:p>
  <w:p w:rsidR="00FB51A4" w:rsidRDefault="00FB51A4" w:rsidP="00C30C46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A4" w:rsidRDefault="00FB51A4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C9D"/>
    <w:rsid w:val="00045B4D"/>
    <w:rsid w:val="00046BCA"/>
    <w:rsid w:val="00047B7E"/>
    <w:rsid w:val="00050369"/>
    <w:rsid w:val="0005189B"/>
    <w:rsid w:val="000706F7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219B3"/>
    <w:rsid w:val="00122771"/>
    <w:rsid w:val="00135079"/>
    <w:rsid w:val="00136844"/>
    <w:rsid w:val="0015528C"/>
    <w:rsid w:val="00170529"/>
    <w:rsid w:val="001754C6"/>
    <w:rsid w:val="00190E0B"/>
    <w:rsid w:val="001A3ABF"/>
    <w:rsid w:val="001A65B3"/>
    <w:rsid w:val="001A67D3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61737"/>
    <w:rsid w:val="00262BAA"/>
    <w:rsid w:val="00263378"/>
    <w:rsid w:val="0027676A"/>
    <w:rsid w:val="00280FA0"/>
    <w:rsid w:val="00281587"/>
    <w:rsid w:val="00294D79"/>
    <w:rsid w:val="002B1ABA"/>
    <w:rsid w:val="002B2130"/>
    <w:rsid w:val="002B4D65"/>
    <w:rsid w:val="002B6AD3"/>
    <w:rsid w:val="002C2A54"/>
    <w:rsid w:val="002D5948"/>
    <w:rsid w:val="002D698F"/>
    <w:rsid w:val="002E1130"/>
    <w:rsid w:val="002E5E96"/>
    <w:rsid w:val="002F4E94"/>
    <w:rsid w:val="002F69A8"/>
    <w:rsid w:val="00301A8F"/>
    <w:rsid w:val="003124E1"/>
    <w:rsid w:val="00313884"/>
    <w:rsid w:val="00332527"/>
    <w:rsid w:val="00337209"/>
    <w:rsid w:val="00347CF5"/>
    <w:rsid w:val="003548C2"/>
    <w:rsid w:val="00355D3D"/>
    <w:rsid w:val="0035741A"/>
    <w:rsid w:val="003705C7"/>
    <w:rsid w:val="00370696"/>
    <w:rsid w:val="003819EA"/>
    <w:rsid w:val="0038657B"/>
    <w:rsid w:val="00391ACA"/>
    <w:rsid w:val="003942E6"/>
    <w:rsid w:val="0039705D"/>
    <w:rsid w:val="003A7812"/>
    <w:rsid w:val="003B7E7F"/>
    <w:rsid w:val="003C022A"/>
    <w:rsid w:val="003C0346"/>
    <w:rsid w:val="003C6980"/>
    <w:rsid w:val="003D1101"/>
    <w:rsid w:val="003D42A8"/>
    <w:rsid w:val="003D74ED"/>
    <w:rsid w:val="003E1752"/>
    <w:rsid w:val="003E2968"/>
    <w:rsid w:val="003F1345"/>
    <w:rsid w:val="003F435B"/>
    <w:rsid w:val="003F51A6"/>
    <w:rsid w:val="003F56B6"/>
    <w:rsid w:val="003F7CEE"/>
    <w:rsid w:val="004012CA"/>
    <w:rsid w:val="004200B8"/>
    <w:rsid w:val="00420142"/>
    <w:rsid w:val="00422329"/>
    <w:rsid w:val="00423A53"/>
    <w:rsid w:val="00442F4E"/>
    <w:rsid w:val="00454B82"/>
    <w:rsid w:val="004643FB"/>
    <w:rsid w:val="004675FC"/>
    <w:rsid w:val="004713F2"/>
    <w:rsid w:val="00471934"/>
    <w:rsid w:val="00492778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5300"/>
    <w:rsid w:val="004F6633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4CBF"/>
    <w:rsid w:val="00595C1B"/>
    <w:rsid w:val="005A13AF"/>
    <w:rsid w:val="005A2032"/>
    <w:rsid w:val="005A5CA7"/>
    <w:rsid w:val="00605608"/>
    <w:rsid w:val="006108CA"/>
    <w:rsid w:val="00613761"/>
    <w:rsid w:val="00616736"/>
    <w:rsid w:val="00617946"/>
    <w:rsid w:val="00642088"/>
    <w:rsid w:val="006457BF"/>
    <w:rsid w:val="0067306D"/>
    <w:rsid w:val="006755AC"/>
    <w:rsid w:val="00676EE6"/>
    <w:rsid w:val="00683AB7"/>
    <w:rsid w:val="006841A9"/>
    <w:rsid w:val="00697CE6"/>
    <w:rsid w:val="006A6429"/>
    <w:rsid w:val="006B72F3"/>
    <w:rsid w:val="006C16F4"/>
    <w:rsid w:val="006D057F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C7F06"/>
    <w:rsid w:val="007D0DB1"/>
    <w:rsid w:val="007D718F"/>
    <w:rsid w:val="008079C2"/>
    <w:rsid w:val="00814C95"/>
    <w:rsid w:val="00835750"/>
    <w:rsid w:val="008454B8"/>
    <w:rsid w:val="00852037"/>
    <w:rsid w:val="008558FD"/>
    <w:rsid w:val="00855FB6"/>
    <w:rsid w:val="00857F89"/>
    <w:rsid w:val="00863CB7"/>
    <w:rsid w:val="008726C7"/>
    <w:rsid w:val="00874289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24C88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26A4"/>
    <w:rsid w:val="00BE55EC"/>
    <w:rsid w:val="00C00E92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133A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6F79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Nadpis2Char">
    <w:name w:val="Nadpis 2 Char"/>
    <w:link w:val="Nadpis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Nadpis3Char">
    <w:name w:val="Nadpis 3 Char"/>
    <w:link w:val="Nadpis3"/>
    <w:uiPriority w:val="9"/>
    <w:rsid w:val="001A65B3"/>
    <w:rPr>
      <w:rFonts w:eastAsia="MS PGothic"/>
      <w:b/>
      <w:sz w:val="24"/>
      <w:lang w:eastAsia="ja-JP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NzevChar">
    <w:name w:val="Název Char"/>
    <w:link w:val="Nzev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paragraph" w:styleId="Normlnweb">
    <w:name w:val="Normal (Web)"/>
    <w:basedOn w:val="Normln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603CD"/>
    <w:rPr>
      <w:color w:val="0000FF"/>
      <w:u w:val="single"/>
    </w:rPr>
  </w:style>
  <w:style w:type="table" w:styleId="Mkatabulky">
    <w:name w:val="Table Grid"/>
    <w:basedOn w:val="Normlntabulka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3C69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4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7946"/>
    <w:rPr>
      <w:lang w:val="en-US" w:eastAsia="ja-JP" w:bidi="en-US"/>
    </w:rPr>
  </w:style>
  <w:style w:type="character" w:styleId="Znakapoznpodarou">
    <w:name w:val="footnote reference"/>
    <w:uiPriority w:val="99"/>
    <w:semiHidden/>
    <w:unhideWhenUsed/>
    <w:rsid w:val="0061794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vysvtlivekChar">
    <w:name w:val="Text vysvětlivek Char"/>
    <w:link w:val="Textvysvtlivek"/>
    <w:uiPriority w:val="99"/>
    <w:rsid w:val="00617946"/>
    <w:rPr>
      <w:rFonts w:ascii="Calibri" w:eastAsia="Calibri" w:hAnsi="Calibri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A846B3"/>
  </w:style>
  <w:style w:type="character" w:styleId="Odkaznakoment">
    <w:name w:val="annotation reference"/>
    <w:basedOn w:val="Standardnpsmoodstavce"/>
    <w:uiPriority w:val="99"/>
    <w:semiHidden/>
    <w:unhideWhenUsed/>
    <w:rsid w:val="00263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378"/>
    <w:rPr>
      <w:lang w:val="en-US" w:eastAsia="ja-JP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926F5-FEA2-4E41-BF90-881157E9F655}"/>
</file>

<file path=customXml/itemProps2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237FF-38AD-4EBF-89F9-A220E922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ltamc</cp:lastModifiedBy>
  <cp:revision>3</cp:revision>
  <dcterms:created xsi:type="dcterms:W3CDTF">2018-03-18T09:56:00Z</dcterms:created>
  <dcterms:modified xsi:type="dcterms:W3CDTF">2018-04-11T11:27:00Z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