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47633D30" w:rsidR="00814C95" w:rsidRPr="00814C95" w:rsidRDefault="00F63690" w:rsidP="000E287F">
      <w:pPr>
        <w:pStyle w:val="Heading1"/>
        <w:rPr>
          <w:sz w:val="24"/>
        </w:rPr>
      </w:pPr>
      <w:r>
        <w:rPr>
          <w:rFonts w:eastAsia="Tahoma"/>
          <w:iCs/>
          <w:sz w:val="24"/>
        </w:rPr>
        <w:t>H. R. 300</w:t>
      </w:r>
      <w:r w:rsidR="00814C95" w:rsidRPr="00814C95">
        <w:rPr>
          <w:rFonts w:eastAsia="Tahoma"/>
          <w:iCs/>
          <w:sz w:val="24"/>
        </w:rPr>
        <w:t>2</w:t>
      </w:r>
    </w:p>
    <w:p w14:paraId="4FFE4248" w14:textId="5D9F8383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</w:t>
      </w:r>
      <w:r w:rsidR="007F1B36">
        <w:rPr>
          <w:b w:val="0"/>
          <w:sz w:val="24"/>
        </w:rPr>
        <w:t>Výbor pro školství a práci</w:t>
      </w:r>
    </w:p>
    <w:p w14:paraId="072D7A72" w14:textId="15D9C23A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EA24CB">
        <w:rPr>
          <w:rFonts w:eastAsia="Tahoma"/>
          <w:iCs/>
          <w:sz w:val="24"/>
        </w:rPr>
        <w:t>O revizi odborových organizací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1DC0C40A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0109E192" w14:textId="4A0CA9A5" w:rsidR="00B651F9" w:rsidRDefault="00B651F9" w:rsidP="00642088">
      <w:pPr>
        <w:rPr>
          <w:lang w:val="cs-CZ"/>
        </w:rPr>
      </w:pPr>
      <w:r w:rsidRPr="00B651F9">
        <w:rPr>
          <w:lang w:val="cs-CZ"/>
        </w:rPr>
        <w:t xml:space="preserve">Tento zákon směřuje k řešení </w:t>
      </w:r>
      <w:r>
        <w:rPr>
          <w:lang w:val="cs-CZ"/>
        </w:rPr>
        <w:t>současných problémů, které se týkají odborových organizací. V první řadě je nutné poukázat na skutečnost, že účet si neúčast v odborové organizaci nemůže být na újmu zam</w:t>
      </w:r>
      <w:r w:rsidR="00FB6BB6">
        <w:rPr>
          <w:lang w:val="cs-CZ"/>
        </w:rPr>
        <w:t xml:space="preserve">ěstnancům či uchazečům o práci, což vyplývá z mezinárodně uznávaného práva na práci. </w:t>
      </w:r>
    </w:p>
    <w:p w14:paraId="62D4EBAB" w14:textId="33640C97" w:rsidR="00E532A9" w:rsidRDefault="00E532A9" w:rsidP="00642088">
      <w:pPr>
        <w:rPr>
          <w:lang w:val="cs-CZ"/>
        </w:rPr>
      </w:pPr>
      <w:r>
        <w:rPr>
          <w:lang w:val="cs-CZ"/>
        </w:rPr>
        <w:t xml:space="preserve">Účelem zákona je zavést efektivnost a transparentnost </w:t>
      </w:r>
      <w:r w:rsidR="00721286">
        <w:rPr>
          <w:lang w:val="cs-CZ"/>
        </w:rPr>
        <w:t>ve financování odborových organizací, a to zejména prostřednictvím transparentních účtů.</w:t>
      </w:r>
    </w:p>
    <w:p w14:paraId="734BD4BB" w14:textId="4586E66D" w:rsidR="00B651F9" w:rsidRPr="00B651F9" w:rsidRDefault="00FB6BB6" w:rsidP="00642088">
      <w:pPr>
        <w:rPr>
          <w:lang w:val="cs-CZ"/>
        </w:rPr>
      </w:pPr>
      <w:r>
        <w:rPr>
          <w:lang w:val="cs-CZ"/>
        </w:rPr>
        <w:t>Aby bylo dosaženo výše uvedených cílů, je nutné zřídit efektivní kontrolní mechanismus. Z tohoto důvodu zákon předpokládá zřízení federálního úřadu – Komise pro kontrolu odborových organizací.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33065BAD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1884E45B" w14:textId="2E74988A" w:rsidR="00EA24CB" w:rsidRDefault="00642088" w:rsidP="00642088">
      <w:pPr>
        <w:rPr>
          <w:lang w:val="cs-CZ"/>
        </w:rPr>
      </w:pPr>
      <w:r w:rsidRPr="00642088">
        <w:rPr>
          <w:lang w:val="cs-CZ"/>
        </w:rPr>
        <w:t xml:space="preserve">Hlava </w:t>
      </w:r>
      <w:proofErr w:type="gramStart"/>
      <w:r w:rsidRPr="00642088">
        <w:rPr>
          <w:lang w:val="cs-CZ"/>
        </w:rPr>
        <w:t>I</w:t>
      </w:r>
      <w:proofErr w:type="gramEnd"/>
      <w:r w:rsidRPr="00642088">
        <w:rPr>
          <w:lang w:val="cs-CZ"/>
        </w:rPr>
        <w:t xml:space="preserve"> </w:t>
      </w:r>
      <w:r w:rsidR="00EA24CB">
        <w:rPr>
          <w:lang w:val="cs-CZ"/>
        </w:rPr>
        <w:t>definuje pojmy</w:t>
      </w:r>
      <w:r w:rsidR="00C21EC2">
        <w:rPr>
          <w:lang w:val="cs-CZ"/>
        </w:rPr>
        <w:t>, které jsou</w:t>
      </w:r>
      <w:r w:rsidR="00EA24CB">
        <w:rPr>
          <w:lang w:val="cs-CZ"/>
        </w:rPr>
        <w:t xml:space="preserve"> dále používány. Pojem odborové organizace v sobě zahrnuje všechna sdružení zaměstnanců, nehledě na jejich právní základ, jejichž cíle jsou uvedeny v</w:t>
      </w:r>
      <w:r w:rsidR="00E532A9">
        <w:rPr>
          <w:lang w:val="cs-CZ"/>
        </w:rPr>
        <w:t> </w:t>
      </w:r>
      <w:r w:rsidR="00EA24CB">
        <w:rPr>
          <w:lang w:val="cs-CZ"/>
        </w:rPr>
        <w:t>Par</w:t>
      </w:r>
      <w:r w:rsidR="00E532A9">
        <w:rPr>
          <w:lang w:val="cs-CZ"/>
        </w:rPr>
        <w:t>.</w:t>
      </w:r>
      <w:r w:rsidR="00EA24CB">
        <w:rPr>
          <w:lang w:val="cs-CZ"/>
        </w:rPr>
        <w:t xml:space="preserve"> 101 písm. (A). Není stěžejní, zda odborové organizace vznikly formálně či neformálně, pro posouzení, zda se jedná o odborovou organizaci je stěžejní činnost této organizace, která se musí shodovat s výše uvedenými cíli.</w:t>
      </w:r>
    </w:p>
    <w:p w14:paraId="2D7C5528" w14:textId="2FD24070" w:rsidR="00EA24CB" w:rsidRDefault="00EA24CB" w:rsidP="00642088">
      <w:pPr>
        <w:rPr>
          <w:lang w:val="cs-CZ"/>
        </w:rPr>
      </w:pPr>
      <w:r>
        <w:rPr>
          <w:lang w:val="cs-CZ"/>
        </w:rPr>
        <w:t>Pojem Zaměstnavatel zahrnuje všechny podnikající právnické osoby bez ohledu na právní formu a dále všechny podnikající fyzické osoby. Pro účely zákona se zaměstnavatelem rozumí pouze ti podnikatelé, u kterých figuruje jedna nebo více odborových organizací.</w:t>
      </w:r>
    </w:p>
    <w:p w14:paraId="2FFEDACF" w14:textId="05A08E86" w:rsidR="00EA24CB" w:rsidRDefault="00EA24CB" w:rsidP="00642088">
      <w:pPr>
        <w:rPr>
          <w:lang w:val="cs-CZ"/>
        </w:rPr>
      </w:pPr>
      <w:r>
        <w:rPr>
          <w:lang w:val="cs-CZ"/>
        </w:rPr>
        <w:t>Pojem zaměstnanec zahrnuje pro účely tohoto zákona osoby, které mají se zaměstnavatelem uzavřenou pracovní nebo jinou obdobnou smlouvu. Pro účely zákona, zejména pro účely Par. 201, 202 a 205 se za zaměstnance považuje také osoba, která se uchází o pracovní pozici u zaměstnavatele na základě pracovní smlou</w:t>
      </w:r>
      <w:bookmarkStart w:id="0" w:name="_GoBack"/>
      <w:bookmarkEnd w:id="0"/>
      <w:r>
        <w:rPr>
          <w:lang w:val="cs-CZ"/>
        </w:rPr>
        <w:t>vy nebo jiné obdobné smlouvy.</w:t>
      </w:r>
    </w:p>
    <w:p w14:paraId="40496511" w14:textId="03FCE296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lastRenderedPageBreak/>
        <w:t>Hlava II</w:t>
      </w:r>
    </w:p>
    <w:p w14:paraId="1233B764" w14:textId="7501CBEC" w:rsidR="00C21EC2" w:rsidRDefault="00EA24CB" w:rsidP="000E287F">
      <w:pPr>
        <w:rPr>
          <w:lang w:val="cs-CZ"/>
        </w:rPr>
      </w:pPr>
      <w:r>
        <w:rPr>
          <w:lang w:val="cs-CZ"/>
        </w:rPr>
        <w:t>Hlava II dopadá na případy, kdy by účast či neúčast v odborové organizaci mohla mít vliv na vznik nebo trvání pracovního či jiného obdobného vztahu zaměstnance a zaměstnavatele. Právo na práci je stěžejním základním lidským právem a nesmí být omezováno v souvislosti s členstvím nebo nečlenstvím v odborové organizaci.</w:t>
      </w:r>
    </w:p>
    <w:p w14:paraId="60F9130B" w14:textId="450D7FA7" w:rsidR="00EA24CB" w:rsidRDefault="00EA24CB" w:rsidP="000E287F">
      <w:pPr>
        <w:rPr>
          <w:lang w:val="cs-CZ"/>
        </w:rPr>
      </w:pPr>
      <w:r>
        <w:rPr>
          <w:lang w:val="cs-CZ"/>
        </w:rPr>
        <w:t>Zákon zakazuje uzavření dohod mezi odborovou organizací a zaměstnavatele, které by mohly být v rozporu s předchozím odstavcem. Zákon předpokládá jako sankci absolutní neplatnost takové dohody. Neplatnost je považována za absolutní, tedy v případě sporu soud vysloví neplatnost takové dohody i bez návrhu stran.</w:t>
      </w:r>
    </w:p>
    <w:p w14:paraId="143FC093" w14:textId="7C0DF784" w:rsidR="00EA24CB" w:rsidRDefault="00EA24CB" w:rsidP="000E287F">
      <w:pPr>
        <w:rPr>
          <w:lang w:val="cs-CZ"/>
        </w:rPr>
      </w:pPr>
      <w:r>
        <w:rPr>
          <w:lang w:val="cs-CZ"/>
        </w:rPr>
        <w:t>Stěžejním ustanovením je Par 205</w:t>
      </w:r>
      <w:r w:rsidR="00FB6BB6">
        <w:rPr>
          <w:lang w:val="cs-CZ"/>
        </w:rPr>
        <w:t>.</w:t>
      </w:r>
      <w:r>
        <w:rPr>
          <w:lang w:val="cs-CZ"/>
        </w:rPr>
        <w:t xml:space="preserve"> zákona, který zakazuje zaměstnavateli vyžadovat po zaměstnanci poplatky odborové organizaci v souvislosti s navázáním pracovního či jiného obdobného poměru. Tyto poplatky nezahrnují pouze hmotné (finanční) výhody, ale mohou zahrnovat taktéž nehmotné výhody zaměstnavateli, které souvisejí s pracovním poměrem, například neplacené přesčasy či činnost nad rámec práce sjednané v pracovní či jiné obdobné smlouvě.</w:t>
      </w:r>
    </w:p>
    <w:p w14:paraId="6085CF2A" w14:textId="59ECA3AB" w:rsidR="00814C95" w:rsidRDefault="00FE3A81" w:rsidP="00FE3A81">
      <w:pPr>
        <w:pStyle w:val="Heading2"/>
        <w:rPr>
          <w:lang w:val="cs-CZ"/>
        </w:rPr>
      </w:pPr>
      <w:r w:rsidRPr="00FE3A81">
        <w:rPr>
          <w:lang w:val="cs-CZ"/>
        </w:rPr>
        <w:t>Hlava III</w:t>
      </w:r>
    </w:p>
    <w:p w14:paraId="664FB527" w14:textId="5EE2C3BE" w:rsidR="00C52A52" w:rsidRDefault="00C52A52" w:rsidP="00C52A52">
      <w:pPr>
        <w:rPr>
          <w:lang w:val="cs-CZ"/>
        </w:rPr>
      </w:pPr>
      <w:r>
        <w:rPr>
          <w:lang w:val="cs-CZ"/>
        </w:rPr>
        <w:t>Hlava III zákona směřuje k transparentnímu a efektivnímu využívání finančních prostředků odborové organizace.</w:t>
      </w:r>
    </w:p>
    <w:p w14:paraId="3C7C3DDE" w14:textId="3FE27027" w:rsidR="00C52A52" w:rsidRPr="00C52A52" w:rsidRDefault="00C52A52" w:rsidP="00C52A52">
      <w:pPr>
        <w:rPr>
          <w:lang w:val="cs-CZ"/>
        </w:rPr>
      </w:pPr>
      <w:r>
        <w:rPr>
          <w:lang w:val="cs-CZ"/>
        </w:rPr>
        <w:t>V první řadě by odborové organizace měly zřídit veřejně dostupný transparentní účty, na kterých by evidovaly veškeré platby týkající se činnosti odborové organizace, především pak činnost na reprezentaci zaměstnanců a náklady na samotnou činnost odborové organizace. Náklady na reprezentaci zaměstnanců by měly tvořit hlavní výdajovou položku transparentního účtu.</w:t>
      </w:r>
    </w:p>
    <w:p w14:paraId="7403ED1C" w14:textId="23C65119" w:rsidR="00BF44F8" w:rsidRDefault="00BF44F8" w:rsidP="00BF44F8">
      <w:pPr>
        <w:pStyle w:val="Heading2"/>
        <w:rPr>
          <w:lang w:val="cs-CZ"/>
        </w:rPr>
      </w:pPr>
      <w:r>
        <w:rPr>
          <w:lang w:val="cs-CZ"/>
        </w:rPr>
        <w:t>Hlava IV</w:t>
      </w:r>
    </w:p>
    <w:p w14:paraId="222F5551" w14:textId="2F1F0D3F" w:rsidR="0030662F" w:rsidRDefault="00C52A52" w:rsidP="00925354">
      <w:pPr>
        <w:rPr>
          <w:lang w:val="cs-CZ"/>
        </w:rPr>
      </w:pPr>
      <w:r>
        <w:rPr>
          <w:lang w:val="cs-CZ"/>
        </w:rPr>
        <w:t>Na činnost odborových organizací bude dohlížet federální Komise pro kontrolu odborových organizací. Podstatou činnosti této komise bude kontrola aktivit a financování odborových organizací. Za tímto je Komise oprávněna provádět takové aktivity, které povedou k efektivní kontrole odborových organizací. Výčet prostředků kontroly Komise uvedených v Par 402. zákona je demonstrativní. Komise může kromě šetření a kontrol v místě působení zaměstnavatele nebo odborové organizace provádět i jinou relevantní činnost, která povede k naplnění účelu zákona.</w:t>
      </w:r>
    </w:p>
    <w:p w14:paraId="554BE71A" w14:textId="04C54F39" w:rsidR="00B400A0" w:rsidRDefault="00B400A0" w:rsidP="00B400A0">
      <w:pPr>
        <w:pStyle w:val="Heading2"/>
        <w:rPr>
          <w:lang w:val="cs-CZ"/>
        </w:rPr>
      </w:pPr>
      <w:r>
        <w:rPr>
          <w:lang w:val="cs-CZ"/>
        </w:rPr>
        <w:lastRenderedPageBreak/>
        <w:t>Hlava V</w:t>
      </w:r>
    </w:p>
    <w:p w14:paraId="207CE69F" w14:textId="3C5A4569" w:rsidR="00B400A0" w:rsidRPr="00B400A0" w:rsidRDefault="00B400A0" w:rsidP="00B400A0">
      <w:pPr>
        <w:rPr>
          <w:lang w:val="cs-CZ"/>
        </w:rPr>
      </w:pPr>
      <w:r>
        <w:rPr>
          <w:lang w:val="cs-CZ"/>
        </w:rPr>
        <w:t>Zákon nepůsobí retroaktivně. Pravidla stanovená v Hlavě II, Par. 201. – 205. se nedotknout dohod, které nabyly účinnosti před účinností zákona. V tomto ohledu je však nutné poznamenat, že právo na práci jako takové není novým institutem zavaděným tímto zákonem. Jde o jedno ze základních lidských práv, a je tedy nezbytné, aby i dohody, které nabyly účinnosti před účinností tohoto zákona musí být v souladu s mezinárodně uznávaným katalogem lidských práv.</w:t>
      </w:r>
    </w:p>
    <w:sectPr w:rsidR="00B400A0" w:rsidRPr="00B400A0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4030" w14:textId="77777777" w:rsidR="00980838" w:rsidRDefault="00980838" w:rsidP="00E14C9D">
      <w:pPr>
        <w:spacing w:after="0" w:line="240" w:lineRule="auto"/>
      </w:pPr>
      <w:r>
        <w:separator/>
      </w:r>
    </w:p>
  </w:endnote>
  <w:endnote w:type="continuationSeparator" w:id="0">
    <w:p w14:paraId="0AC22EC7" w14:textId="77777777" w:rsidR="00980838" w:rsidRDefault="00980838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0909D" w14:textId="77777777" w:rsidR="00F63690" w:rsidRPr="00C30C46" w:rsidRDefault="00F63690" w:rsidP="00F63690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Pro </w:t>
                          </w:r>
                          <w:proofErr w:type="spellStart"/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potřeby</w:t>
                          </w:r>
                          <w:proofErr w:type="spellEnd"/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kého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modelu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amerického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Kongresu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Ivan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Fencl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br/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2018 Centrum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politických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studií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z. s. | www.americkykongres.cz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  <w:p w14:paraId="4BAD5B43" w14:textId="3831A841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6410909D" w14:textId="77777777" w:rsidR="00F63690" w:rsidRPr="00C30C46" w:rsidRDefault="00F63690" w:rsidP="00F63690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Pro </w:t>
                    </w:r>
                    <w:proofErr w:type="spellStart"/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potřeby</w:t>
                    </w:r>
                    <w:proofErr w:type="spellEnd"/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kého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modelu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amerického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Kongresu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Ivan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Fencl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br/>
                      <w:t xml:space="preserve">©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2018 Centrum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politických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studií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z. s. | www.americkykongres.cz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  <w:p w14:paraId="4BAD5B43" w14:textId="3831A841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4F25" w14:textId="77777777" w:rsidR="00980838" w:rsidRDefault="00980838" w:rsidP="00E14C9D">
      <w:pPr>
        <w:spacing w:after="0" w:line="240" w:lineRule="auto"/>
      </w:pPr>
      <w:r>
        <w:separator/>
      </w:r>
    </w:p>
  </w:footnote>
  <w:footnote w:type="continuationSeparator" w:id="0">
    <w:p w14:paraId="71E4EA42" w14:textId="77777777" w:rsidR="00980838" w:rsidRDefault="00980838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07C9"/>
    <w:rsid w:val="00045B4D"/>
    <w:rsid w:val="00046BCA"/>
    <w:rsid w:val="00047B7E"/>
    <w:rsid w:val="00050369"/>
    <w:rsid w:val="0005189B"/>
    <w:rsid w:val="00052D0D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2771"/>
    <w:rsid w:val="00135079"/>
    <w:rsid w:val="00136844"/>
    <w:rsid w:val="0015528C"/>
    <w:rsid w:val="00170529"/>
    <w:rsid w:val="001754C6"/>
    <w:rsid w:val="00190E0B"/>
    <w:rsid w:val="001A023F"/>
    <w:rsid w:val="001A3ABF"/>
    <w:rsid w:val="001A65B3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4B2F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81587"/>
    <w:rsid w:val="00294D79"/>
    <w:rsid w:val="002B0452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0662F"/>
    <w:rsid w:val="003124E1"/>
    <w:rsid w:val="00313884"/>
    <w:rsid w:val="00332527"/>
    <w:rsid w:val="00337209"/>
    <w:rsid w:val="00347CF5"/>
    <w:rsid w:val="003548C2"/>
    <w:rsid w:val="00355D3D"/>
    <w:rsid w:val="0035741A"/>
    <w:rsid w:val="0035767F"/>
    <w:rsid w:val="003705C7"/>
    <w:rsid w:val="00370696"/>
    <w:rsid w:val="003819EA"/>
    <w:rsid w:val="0038657B"/>
    <w:rsid w:val="003942E6"/>
    <w:rsid w:val="00394FF5"/>
    <w:rsid w:val="0039705D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1416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21286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602E"/>
    <w:rsid w:val="007C7F06"/>
    <w:rsid w:val="007D0DB1"/>
    <w:rsid w:val="007D57AB"/>
    <w:rsid w:val="007D718F"/>
    <w:rsid w:val="007F1B36"/>
    <w:rsid w:val="008079C2"/>
    <w:rsid w:val="00814C95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0838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236F0"/>
    <w:rsid w:val="00B24C88"/>
    <w:rsid w:val="00B400A0"/>
    <w:rsid w:val="00B51827"/>
    <w:rsid w:val="00B55141"/>
    <w:rsid w:val="00B65198"/>
    <w:rsid w:val="00B651F9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BF44F8"/>
    <w:rsid w:val="00C00E92"/>
    <w:rsid w:val="00C21EC2"/>
    <w:rsid w:val="00C24C0F"/>
    <w:rsid w:val="00C30C46"/>
    <w:rsid w:val="00C341BE"/>
    <w:rsid w:val="00C52A52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32A9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24CB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63690"/>
    <w:rsid w:val="00F73EC6"/>
    <w:rsid w:val="00F805CD"/>
    <w:rsid w:val="00F86F4E"/>
    <w:rsid w:val="00F93FD9"/>
    <w:rsid w:val="00FA1905"/>
    <w:rsid w:val="00FA40DF"/>
    <w:rsid w:val="00FB51A4"/>
    <w:rsid w:val="00FB6BB6"/>
    <w:rsid w:val="00FC19E0"/>
    <w:rsid w:val="00FC386A"/>
    <w:rsid w:val="00FD28B5"/>
    <w:rsid w:val="00FD36CE"/>
    <w:rsid w:val="00FD4411"/>
    <w:rsid w:val="00FD6335"/>
    <w:rsid w:val="00FE3A81"/>
    <w:rsid w:val="00FF2E98"/>
    <w:rsid w:val="00FF387C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8B0F3-52B2-457C-9A5D-EB163F56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D0EB3-0FE9-FC4B-9C64-F6234DFF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642</Words>
  <Characters>3708</Characters>
  <Application>Microsoft Macintosh Word</Application>
  <DocSecurity>0</DocSecurity>
  <Lines>92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11</cp:revision>
  <dcterms:created xsi:type="dcterms:W3CDTF">2018-08-01T07:17:00Z</dcterms:created>
  <dcterms:modified xsi:type="dcterms:W3CDTF">2018-08-28T18:17:00Z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