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36237765" w:rsidR="00814C95" w:rsidRPr="0090741A" w:rsidRDefault="00814C95" w:rsidP="000E287F">
      <w:pPr>
        <w:pStyle w:val="Nadpis1"/>
        <w:rPr>
          <w:sz w:val="22"/>
        </w:rPr>
      </w:pPr>
      <w:r w:rsidRPr="0090741A">
        <w:rPr>
          <w:rFonts w:eastAsia="Tahoma"/>
          <w:iCs/>
          <w:sz w:val="22"/>
        </w:rPr>
        <w:t xml:space="preserve">H. R. </w:t>
      </w:r>
      <w:r w:rsidR="0025518E" w:rsidRPr="0090741A">
        <w:rPr>
          <w:rFonts w:eastAsia="Tahoma"/>
          <w:iCs/>
          <w:sz w:val="22"/>
        </w:rPr>
        <w:t>3001</w:t>
      </w:r>
    </w:p>
    <w:p w14:paraId="4FFE4248" w14:textId="12BA2A91" w:rsidR="00814C95" w:rsidRPr="0090741A" w:rsidRDefault="0025518E" w:rsidP="000E287F">
      <w:pPr>
        <w:pStyle w:val="Nadpis1"/>
        <w:rPr>
          <w:rFonts w:eastAsia="Tahoma"/>
          <w:b w:val="0"/>
          <w:iCs/>
          <w:sz w:val="22"/>
        </w:rPr>
      </w:pPr>
      <w:r w:rsidRPr="0090741A">
        <w:rPr>
          <w:b w:val="0"/>
          <w:sz w:val="22"/>
        </w:rPr>
        <w:t>Výbor: Výbor pro ozbrojené složky</w:t>
      </w:r>
    </w:p>
    <w:p w14:paraId="072D7A72" w14:textId="0C09E3AD" w:rsidR="00814C95" w:rsidRPr="0090741A" w:rsidRDefault="00814C95" w:rsidP="000E287F">
      <w:pPr>
        <w:pStyle w:val="Nadpis1"/>
        <w:rPr>
          <w:rFonts w:eastAsia="Tahoma"/>
          <w:iCs/>
          <w:sz w:val="22"/>
        </w:rPr>
      </w:pPr>
      <w:r w:rsidRPr="0090741A">
        <w:rPr>
          <w:rFonts w:eastAsia="Tahoma"/>
          <w:b w:val="0"/>
          <w:iCs/>
          <w:sz w:val="22"/>
        </w:rPr>
        <w:t xml:space="preserve">Název: </w:t>
      </w:r>
      <w:r w:rsidR="0025518E" w:rsidRPr="0090741A">
        <w:rPr>
          <w:rFonts w:eastAsia="Tahoma"/>
          <w:iCs/>
          <w:sz w:val="22"/>
        </w:rPr>
        <w:t>Zákon o využívání vojenských a bezpečnostních kontraktorů</w:t>
      </w:r>
    </w:p>
    <w:p w14:paraId="5F18A577" w14:textId="5C73C997" w:rsidR="00814C95" w:rsidRPr="0090741A" w:rsidRDefault="00814C95" w:rsidP="00814C95">
      <w:pPr>
        <w:jc w:val="center"/>
        <w:rPr>
          <w:b/>
          <w:sz w:val="28"/>
          <w:lang w:val="cs-CZ"/>
        </w:rPr>
      </w:pPr>
      <w:r w:rsidRPr="0090741A">
        <w:rPr>
          <w:b/>
          <w:sz w:val="28"/>
          <w:lang w:val="cs-CZ"/>
        </w:rPr>
        <w:t>Důvodová zpráva</w:t>
      </w:r>
    </w:p>
    <w:p w14:paraId="2FEA2E64" w14:textId="1DC0C40A" w:rsidR="001B3769" w:rsidRPr="0090741A" w:rsidRDefault="00DE5896" w:rsidP="000E287F">
      <w:pPr>
        <w:pStyle w:val="Nadpis1"/>
        <w:rPr>
          <w:sz w:val="24"/>
        </w:rPr>
      </w:pPr>
      <w:r w:rsidRPr="0090741A">
        <w:rPr>
          <w:sz w:val="24"/>
        </w:rPr>
        <w:t>Obecná část</w:t>
      </w:r>
    </w:p>
    <w:p w14:paraId="5FD27F5B" w14:textId="2A98DBC5" w:rsidR="00DE5896" w:rsidRPr="0090741A" w:rsidRDefault="00FA40DF" w:rsidP="0084650B">
      <w:pPr>
        <w:rPr>
          <w:sz w:val="22"/>
          <w:lang w:val="cs-CZ"/>
        </w:rPr>
      </w:pPr>
      <w:r w:rsidRPr="0090741A">
        <w:rPr>
          <w:sz w:val="22"/>
          <w:lang w:val="cs-CZ"/>
        </w:rPr>
        <w:t xml:space="preserve">Tento </w:t>
      </w:r>
      <w:r w:rsidR="0084650B" w:rsidRPr="0090741A">
        <w:rPr>
          <w:sz w:val="22"/>
          <w:lang w:val="cs-CZ"/>
        </w:rPr>
        <w:t>návrh zákona</w:t>
      </w:r>
      <w:r w:rsidRPr="0090741A">
        <w:rPr>
          <w:sz w:val="22"/>
          <w:lang w:val="cs-CZ"/>
        </w:rPr>
        <w:t xml:space="preserve"> </w:t>
      </w:r>
      <w:r w:rsidR="0084650B" w:rsidRPr="0090741A">
        <w:rPr>
          <w:sz w:val="22"/>
          <w:lang w:val="cs-CZ"/>
        </w:rPr>
        <w:t xml:space="preserve">upravuje využívání vojenských a bezpečnostních kontraktorů Spojenými státy. S činností těchto kontraktorů ve válečných zónách bylo v minulosti spojeno mnoho kontroverzí. Cílem zákona je vytvořit adekvátní právní úpravu regulující jejich využívání. Jelikož zajišťování národní obrany a bezpečnosti je úlohou ozbrojených složek a bezpečnostních sborů, je na místě úlohu kontraktorů v těchto oblastech omezit. V případě, že se ukáže, že v některých situacích je třeba kontraktory v dalších letech nadále využívat, je nezbytné, aby služby Spojeným státům poskytovali pouze subjekty s dostatečnou </w:t>
      </w:r>
      <w:r w:rsidR="00B020B3" w:rsidRPr="0090741A">
        <w:rPr>
          <w:sz w:val="22"/>
          <w:lang w:val="cs-CZ"/>
        </w:rPr>
        <w:t xml:space="preserve">odborností a dodržující etické standardy. </w:t>
      </w:r>
    </w:p>
    <w:p w14:paraId="79F1FB2E" w14:textId="43FD3406" w:rsidR="00DE5896" w:rsidRPr="0090741A" w:rsidRDefault="00DE5896" w:rsidP="000E287F">
      <w:pPr>
        <w:pStyle w:val="Nadpis1"/>
        <w:ind w:left="432" w:hanging="432"/>
        <w:rPr>
          <w:sz w:val="24"/>
        </w:rPr>
      </w:pPr>
      <w:r w:rsidRPr="0090741A">
        <w:rPr>
          <w:sz w:val="24"/>
        </w:rPr>
        <w:t>Zvláštní část</w:t>
      </w:r>
    </w:p>
    <w:p w14:paraId="15F7CB80" w14:textId="1E7675E9" w:rsidR="00642088" w:rsidRPr="005B53E4" w:rsidRDefault="00DE5896" w:rsidP="00642088">
      <w:pPr>
        <w:pStyle w:val="Nadpis2"/>
        <w:rPr>
          <w:sz w:val="22"/>
          <w:lang w:val="cs-CZ"/>
        </w:rPr>
      </w:pPr>
      <w:r w:rsidRPr="0090741A">
        <w:rPr>
          <w:sz w:val="22"/>
          <w:lang w:val="cs-CZ"/>
        </w:rPr>
        <w:t>Hlava I</w:t>
      </w:r>
      <w:r w:rsidR="000E287F" w:rsidRPr="005B53E4">
        <w:rPr>
          <w:sz w:val="22"/>
          <w:lang w:val="cs-CZ"/>
        </w:rPr>
        <w:t>.</w:t>
      </w:r>
    </w:p>
    <w:p w14:paraId="3583CB92" w14:textId="77777777" w:rsidR="00814C95" w:rsidRPr="0090741A" w:rsidRDefault="00642088" w:rsidP="00814C95">
      <w:pPr>
        <w:spacing w:before="240" w:after="0" w:line="360" w:lineRule="auto"/>
        <w:rPr>
          <w:sz w:val="22"/>
          <w:szCs w:val="24"/>
          <w:u w:val="single"/>
          <w:lang w:val="cs-CZ"/>
        </w:rPr>
      </w:pPr>
      <w:r w:rsidRPr="0090741A">
        <w:rPr>
          <w:b/>
          <w:sz w:val="22"/>
          <w:szCs w:val="24"/>
          <w:u w:val="single"/>
          <w:lang w:val="cs-CZ"/>
        </w:rPr>
        <w:t xml:space="preserve">Par. 101. </w:t>
      </w:r>
    </w:p>
    <w:p w14:paraId="0CE33520" w14:textId="4D06B77F" w:rsidR="00642088" w:rsidRPr="0090741A" w:rsidRDefault="00642088" w:rsidP="00814C95">
      <w:pPr>
        <w:spacing w:before="240" w:after="0" w:line="360" w:lineRule="auto"/>
        <w:rPr>
          <w:sz w:val="22"/>
          <w:lang w:val="cs-CZ"/>
        </w:rPr>
      </w:pPr>
      <w:r w:rsidRPr="0090741A">
        <w:rPr>
          <w:sz w:val="22"/>
          <w:lang w:val="cs-CZ"/>
        </w:rPr>
        <w:t xml:space="preserve">Tento </w:t>
      </w:r>
      <w:r w:rsidR="00B020B3" w:rsidRPr="0090741A">
        <w:rPr>
          <w:sz w:val="22"/>
          <w:lang w:val="cs-CZ"/>
        </w:rPr>
        <w:t xml:space="preserve">paragraf definuje pojmy používané dále v zákoně. </w:t>
      </w:r>
    </w:p>
    <w:p w14:paraId="1D51A3D7" w14:textId="06738AF2" w:rsidR="00B020B3" w:rsidRPr="0090741A" w:rsidRDefault="00B020B3" w:rsidP="00814C95">
      <w:pPr>
        <w:spacing w:before="240" w:after="0" w:line="360" w:lineRule="auto"/>
        <w:rPr>
          <w:sz w:val="22"/>
          <w:szCs w:val="24"/>
          <w:lang w:val="cs-CZ"/>
        </w:rPr>
      </w:pPr>
      <w:r w:rsidRPr="0090741A">
        <w:rPr>
          <w:sz w:val="22"/>
          <w:szCs w:val="24"/>
          <w:lang w:val="cs-CZ"/>
        </w:rPr>
        <w:t>Odstavec 7 odkazuje na definici pohotovostní operace (</w:t>
      </w:r>
      <w:proofErr w:type="spellStart"/>
      <w:r w:rsidRPr="0090741A">
        <w:rPr>
          <w:sz w:val="22"/>
          <w:szCs w:val="24"/>
          <w:lang w:val="cs-CZ"/>
        </w:rPr>
        <w:t>contingency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operation</w:t>
      </w:r>
      <w:proofErr w:type="spellEnd"/>
      <w:r w:rsidRPr="0090741A">
        <w:rPr>
          <w:sz w:val="22"/>
          <w:szCs w:val="24"/>
          <w:lang w:val="cs-CZ"/>
        </w:rPr>
        <w:t xml:space="preserve">) obsaženou v par.  101 (a) odst. (13) </w:t>
      </w:r>
      <w:proofErr w:type="spellStart"/>
      <w:r w:rsidRPr="0090741A">
        <w:rPr>
          <w:sz w:val="22"/>
          <w:szCs w:val="24"/>
          <w:lang w:val="cs-CZ"/>
        </w:rPr>
        <w:t>Title</w:t>
      </w:r>
      <w:proofErr w:type="spellEnd"/>
      <w:r w:rsidRPr="0090741A">
        <w:rPr>
          <w:sz w:val="22"/>
          <w:szCs w:val="24"/>
          <w:lang w:val="cs-CZ"/>
        </w:rPr>
        <w:t xml:space="preserve"> 10 US </w:t>
      </w:r>
      <w:proofErr w:type="spellStart"/>
      <w:r w:rsidRPr="0090741A">
        <w:rPr>
          <w:sz w:val="22"/>
          <w:szCs w:val="24"/>
          <w:lang w:val="cs-CZ"/>
        </w:rPr>
        <w:t>Code</w:t>
      </w:r>
      <w:proofErr w:type="spellEnd"/>
      <w:r w:rsidRPr="0090741A">
        <w:rPr>
          <w:rStyle w:val="Znakapoznpodarou"/>
          <w:sz w:val="22"/>
          <w:szCs w:val="24"/>
          <w:lang w:val="cs-CZ"/>
        </w:rPr>
        <w:footnoteReference w:id="1"/>
      </w:r>
    </w:p>
    <w:p w14:paraId="178D5229" w14:textId="7903235C" w:rsidR="000E287F" w:rsidRPr="0090741A" w:rsidRDefault="00642088" w:rsidP="000E287F">
      <w:pPr>
        <w:pStyle w:val="Nadpis2"/>
        <w:rPr>
          <w:sz w:val="22"/>
          <w:lang w:val="cs-CZ"/>
        </w:rPr>
      </w:pPr>
      <w:r w:rsidRPr="0090741A">
        <w:rPr>
          <w:sz w:val="22"/>
          <w:lang w:val="cs-CZ"/>
        </w:rPr>
        <w:t>Hlava II</w:t>
      </w:r>
    </w:p>
    <w:p w14:paraId="6085CF2A" w14:textId="77777777" w:rsidR="00814C95" w:rsidRPr="0090741A" w:rsidRDefault="00642088" w:rsidP="00642088">
      <w:pPr>
        <w:rPr>
          <w:b/>
          <w:sz w:val="22"/>
          <w:lang w:val="cs-CZ"/>
        </w:rPr>
      </w:pPr>
      <w:r w:rsidRPr="0090741A">
        <w:rPr>
          <w:b/>
          <w:sz w:val="22"/>
          <w:u w:val="single"/>
          <w:lang w:val="cs-CZ"/>
        </w:rPr>
        <w:t>Par. 201.</w:t>
      </w:r>
      <w:r w:rsidR="0005189B" w:rsidRPr="0090741A">
        <w:rPr>
          <w:b/>
          <w:sz w:val="22"/>
          <w:lang w:val="cs-CZ"/>
        </w:rPr>
        <w:t xml:space="preserve"> </w:t>
      </w:r>
    </w:p>
    <w:p w14:paraId="33B0A649" w14:textId="419628A3" w:rsidR="001B1D34" w:rsidRPr="0090741A" w:rsidRDefault="001B1D34" w:rsidP="00642088">
      <w:pPr>
        <w:rPr>
          <w:sz w:val="22"/>
          <w:lang w:val="cs-CZ"/>
        </w:rPr>
      </w:pPr>
      <w:r w:rsidRPr="0090741A">
        <w:rPr>
          <w:sz w:val="22"/>
          <w:lang w:val="cs-CZ"/>
        </w:rPr>
        <w:t xml:space="preserve">Tento paragraf znemožňuje využívání vojenských a bezpečnostních kontraktorů při ochraně diplomatického a konzulárního personálu ve vymezených oblastech. Ochrana těchto osob v nebezpečných oblastech by měla být nadále svěřována pouze do rukou zaměstnanců vlády Spojených států nebo příslušníkům </w:t>
      </w:r>
      <w:r w:rsidR="005B53E4">
        <w:rPr>
          <w:sz w:val="22"/>
          <w:lang w:val="cs-CZ"/>
        </w:rPr>
        <w:t xml:space="preserve">ozbrojených sil </w:t>
      </w:r>
      <w:r w:rsidRPr="0090741A">
        <w:rPr>
          <w:sz w:val="22"/>
          <w:lang w:val="cs-CZ"/>
        </w:rPr>
        <w:t xml:space="preserve">Spojených států. </w:t>
      </w:r>
    </w:p>
    <w:p w14:paraId="2C3E5DF5" w14:textId="027AF4DF" w:rsidR="00642088" w:rsidRPr="0090741A" w:rsidRDefault="00642088" w:rsidP="000E287F">
      <w:pPr>
        <w:pStyle w:val="Nadpis2"/>
        <w:rPr>
          <w:sz w:val="22"/>
          <w:lang w:val="cs-CZ"/>
        </w:rPr>
      </w:pPr>
      <w:r w:rsidRPr="0090741A">
        <w:rPr>
          <w:sz w:val="22"/>
          <w:lang w:val="cs-CZ"/>
        </w:rPr>
        <w:lastRenderedPageBreak/>
        <w:t>Hlava III</w:t>
      </w:r>
    </w:p>
    <w:p w14:paraId="4121EBB1" w14:textId="2686C678" w:rsidR="003B2496" w:rsidRPr="0090741A" w:rsidRDefault="003B2496" w:rsidP="00925354">
      <w:pPr>
        <w:rPr>
          <w:bCs/>
          <w:sz w:val="22"/>
          <w:u w:val="single"/>
          <w:lang w:val="cs-CZ"/>
        </w:rPr>
      </w:pPr>
      <w:r w:rsidRPr="0090741A">
        <w:rPr>
          <w:rStyle w:val="Siln"/>
          <w:sz w:val="22"/>
          <w:u w:val="single"/>
          <w:lang w:val="cs-CZ"/>
        </w:rPr>
        <w:t xml:space="preserve">Par. 301. </w:t>
      </w:r>
    </w:p>
    <w:p w14:paraId="1B789E92" w14:textId="31BC6754" w:rsidR="00642088" w:rsidRPr="0090741A" w:rsidRDefault="003B2496" w:rsidP="003B2496">
      <w:pPr>
        <w:rPr>
          <w:sz w:val="22"/>
          <w:lang w:val="cs-CZ"/>
        </w:rPr>
      </w:pPr>
      <w:r w:rsidRPr="0090741A">
        <w:rPr>
          <w:sz w:val="22"/>
          <w:lang w:val="cs-CZ"/>
        </w:rPr>
        <w:t>Tento paragraf zakotvuje povinnost prezidenta předložit určeným výborům zprávu o omezování využívání vojenskýc</w:t>
      </w:r>
      <w:r w:rsidR="002E0927" w:rsidRPr="0090741A">
        <w:rPr>
          <w:sz w:val="22"/>
          <w:lang w:val="cs-CZ"/>
        </w:rPr>
        <w:t>h a bezpečnostních kontraktorů. Cílem je do roku 2020 přestat využívat tyto kontraktory ve vymeze</w:t>
      </w:r>
      <w:r w:rsidR="005B53E4">
        <w:rPr>
          <w:sz w:val="22"/>
          <w:lang w:val="cs-CZ"/>
        </w:rPr>
        <w:t xml:space="preserve">ných vysoce citlivých situacích a oblastech. </w:t>
      </w:r>
      <w:r w:rsidR="002E0927" w:rsidRPr="0090741A">
        <w:rPr>
          <w:sz w:val="22"/>
          <w:lang w:val="cs-CZ"/>
        </w:rPr>
        <w:t xml:space="preserve"> </w:t>
      </w:r>
    </w:p>
    <w:p w14:paraId="6EC89208" w14:textId="1F972BF4" w:rsidR="002E0927" w:rsidRPr="0090741A" w:rsidRDefault="002E0927" w:rsidP="002E0927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 xml:space="preserve">Par. 302. </w:t>
      </w:r>
    </w:p>
    <w:p w14:paraId="057DEA9D" w14:textId="229EACD4" w:rsidR="002E0927" w:rsidRPr="0090741A" w:rsidRDefault="002E0927" w:rsidP="002E0927">
      <w:pPr>
        <w:rPr>
          <w:sz w:val="22"/>
          <w:lang w:val="cs-CZ"/>
        </w:rPr>
      </w:pPr>
      <w:r w:rsidRPr="0090741A">
        <w:rPr>
          <w:sz w:val="22"/>
          <w:lang w:val="cs-CZ"/>
        </w:rPr>
        <w:t>Je pravděpodobné, v některých případech nebude možné ve stanovené době upustit od využívání kontraktorů. Navíc výše zmíněné omezení nedopadá na všechny voje</w:t>
      </w:r>
      <w:r w:rsidR="001166D8" w:rsidRPr="0090741A">
        <w:rPr>
          <w:sz w:val="22"/>
          <w:lang w:val="cs-CZ"/>
        </w:rPr>
        <w:t>nské a bezpečnostní kontraktory – nedotkne se například</w:t>
      </w:r>
      <w:r w:rsidR="00EA0D84" w:rsidRPr="0090741A">
        <w:rPr>
          <w:sz w:val="22"/>
          <w:lang w:val="cs-CZ"/>
        </w:rPr>
        <w:t xml:space="preserve"> kontraktorů působících v různých rolích na americké pevnině.</w:t>
      </w:r>
      <w:r w:rsidR="001166D8" w:rsidRPr="0090741A">
        <w:rPr>
          <w:sz w:val="22"/>
          <w:lang w:val="cs-CZ"/>
        </w:rPr>
        <w:t xml:space="preserve"> </w:t>
      </w:r>
      <w:r w:rsidRPr="0090741A">
        <w:rPr>
          <w:sz w:val="22"/>
          <w:lang w:val="cs-CZ"/>
        </w:rPr>
        <w:t xml:space="preserve"> Proto je nutné nastavit pravidla, aby byl Kongres informován o uzavírání a prodlužování smluv s kontraktory, aby mohl sledovat úroveň jejich využívání a dohlížet nad realizací tohoto zákona. </w:t>
      </w:r>
    </w:p>
    <w:p w14:paraId="43DA5273" w14:textId="522752A0" w:rsidR="001166D8" w:rsidRPr="0090741A" w:rsidRDefault="002E0927" w:rsidP="002E0927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>Par. 303.</w:t>
      </w:r>
    </w:p>
    <w:p w14:paraId="4999B8A3" w14:textId="3D23C660" w:rsidR="002E0927" w:rsidRPr="0090741A" w:rsidRDefault="001166D8" w:rsidP="001166D8">
      <w:pPr>
        <w:rPr>
          <w:sz w:val="22"/>
          <w:szCs w:val="24"/>
          <w:lang w:val="cs-CZ"/>
        </w:rPr>
      </w:pPr>
      <w:r w:rsidRPr="0090741A">
        <w:rPr>
          <w:sz w:val="22"/>
          <w:lang w:val="cs-CZ"/>
        </w:rPr>
        <w:t xml:space="preserve">Toto ustanovení zakotvuje požadavek, aby vojenští a bezpečnostní kontraktoři, kteří budou v budoucnu najati Spojenými státy, byli členy </w:t>
      </w:r>
      <w:r w:rsidRPr="0090741A">
        <w:rPr>
          <w:sz w:val="22"/>
          <w:szCs w:val="24"/>
          <w:lang w:val="cs-CZ"/>
        </w:rPr>
        <w:t xml:space="preserve">International </w:t>
      </w:r>
      <w:proofErr w:type="spellStart"/>
      <w:r w:rsidRPr="0090741A">
        <w:rPr>
          <w:sz w:val="22"/>
          <w:szCs w:val="24"/>
          <w:lang w:val="cs-CZ"/>
        </w:rPr>
        <w:t>Code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of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Conduct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for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Private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Security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Service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Providers</w:t>
      </w:r>
      <w:proofErr w:type="spellEnd"/>
      <w:r w:rsidRPr="0090741A">
        <w:rPr>
          <w:sz w:val="22"/>
          <w:szCs w:val="24"/>
          <w:lang w:val="cs-CZ"/>
        </w:rPr>
        <w:t xml:space="preserve"> </w:t>
      </w:r>
      <w:proofErr w:type="spellStart"/>
      <w:r w:rsidRPr="0090741A">
        <w:rPr>
          <w:sz w:val="22"/>
          <w:szCs w:val="24"/>
          <w:lang w:val="cs-CZ"/>
        </w:rPr>
        <w:t>Association</w:t>
      </w:r>
      <w:proofErr w:type="spellEnd"/>
      <w:r w:rsidRPr="0090741A">
        <w:rPr>
          <w:sz w:val="22"/>
          <w:szCs w:val="24"/>
          <w:lang w:val="cs-CZ"/>
        </w:rPr>
        <w:t>.</w:t>
      </w:r>
      <w:r w:rsidRPr="0090741A">
        <w:rPr>
          <w:sz w:val="22"/>
          <w:szCs w:val="24"/>
          <w:lang w:val="cs-CZ"/>
        </w:rPr>
        <w:t xml:space="preserve"> Tato asociace si již získala značný respekt a představuje efektivní způsob autoregulace odvětví. Spojené státy tak budou mít garantováno, že kontraktoři, které budou využívat</w:t>
      </w:r>
      <w:r w:rsidR="00EA0D84" w:rsidRPr="0090741A">
        <w:rPr>
          <w:sz w:val="22"/>
          <w:szCs w:val="24"/>
          <w:lang w:val="cs-CZ"/>
        </w:rPr>
        <w:t>,</w:t>
      </w:r>
      <w:r w:rsidRPr="0090741A">
        <w:rPr>
          <w:sz w:val="22"/>
          <w:szCs w:val="24"/>
          <w:lang w:val="cs-CZ"/>
        </w:rPr>
        <w:t xml:space="preserve"> </w:t>
      </w:r>
      <w:r w:rsidR="00EA0D84" w:rsidRPr="0090741A">
        <w:rPr>
          <w:sz w:val="22"/>
          <w:szCs w:val="24"/>
          <w:lang w:val="cs-CZ"/>
        </w:rPr>
        <w:t xml:space="preserve">budou dodržovat příslušné etické a odborné standardy. </w:t>
      </w:r>
    </w:p>
    <w:p w14:paraId="207E2360" w14:textId="221FCCD4" w:rsidR="00EA0D84" w:rsidRPr="0090741A" w:rsidRDefault="00EA0D84" w:rsidP="001166D8">
      <w:pPr>
        <w:rPr>
          <w:b/>
          <w:sz w:val="22"/>
          <w:szCs w:val="24"/>
          <w:u w:val="single"/>
          <w:lang w:val="cs-CZ"/>
        </w:rPr>
      </w:pPr>
      <w:r w:rsidRPr="0090741A">
        <w:rPr>
          <w:b/>
          <w:sz w:val="22"/>
          <w:szCs w:val="24"/>
          <w:u w:val="single"/>
          <w:lang w:val="cs-CZ"/>
        </w:rPr>
        <w:t xml:space="preserve">Par. 304. </w:t>
      </w:r>
    </w:p>
    <w:p w14:paraId="3901A846" w14:textId="7CA56497" w:rsidR="00EA0D84" w:rsidRPr="0090741A" w:rsidRDefault="00EA0D84" w:rsidP="001166D8">
      <w:pPr>
        <w:rPr>
          <w:sz w:val="22"/>
          <w:szCs w:val="24"/>
          <w:lang w:val="cs-CZ"/>
        </w:rPr>
      </w:pPr>
      <w:r w:rsidRPr="0090741A">
        <w:rPr>
          <w:sz w:val="22"/>
          <w:szCs w:val="24"/>
          <w:lang w:val="cs-CZ"/>
        </w:rPr>
        <w:t xml:space="preserve">Tento paragraf se zabývá výkonem jurisdikce nad vojenskými a bezpečnostními kontraktory a jejich zaměstnanci. Tyto osoby budou podřízeny pravomoci vojenské justice Spojených států. Tím však není vyloučeno, aby byli stíháni podle zákonů místa, kde operují. </w:t>
      </w:r>
      <w:r w:rsidR="00EB160B" w:rsidRPr="0090741A">
        <w:rPr>
          <w:sz w:val="22"/>
          <w:szCs w:val="24"/>
          <w:lang w:val="cs-CZ"/>
        </w:rPr>
        <w:t xml:space="preserve">Případná konkurence těchto jurisdikcí bude řešena na základě obecných pravidel mezinárodního práva a mezinárodních smluv upravující vydávání (extradici) obviněných z trestných činů. </w:t>
      </w:r>
    </w:p>
    <w:p w14:paraId="74B564DA" w14:textId="26DA5D72" w:rsidR="00EB160B" w:rsidRPr="0090741A" w:rsidRDefault="00EB160B" w:rsidP="00EB160B">
      <w:pPr>
        <w:pStyle w:val="Nadpis2"/>
        <w:rPr>
          <w:sz w:val="22"/>
          <w:lang w:val="cs-CZ"/>
        </w:rPr>
      </w:pPr>
      <w:r w:rsidRPr="0090741A">
        <w:rPr>
          <w:sz w:val="22"/>
          <w:lang w:val="cs-CZ"/>
        </w:rPr>
        <w:t>Hlava IV</w:t>
      </w:r>
    </w:p>
    <w:p w14:paraId="2C87E6FE" w14:textId="4CDBE265" w:rsidR="00EB160B" w:rsidRPr="0090741A" w:rsidRDefault="00EB160B" w:rsidP="001166D8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 xml:space="preserve">Par. 401. </w:t>
      </w:r>
    </w:p>
    <w:p w14:paraId="2A892DD6" w14:textId="612E11A5" w:rsidR="00EB160B" w:rsidRPr="0090741A" w:rsidRDefault="00EB160B" w:rsidP="00EB160B">
      <w:pPr>
        <w:rPr>
          <w:sz w:val="22"/>
          <w:lang w:val="cs-CZ"/>
        </w:rPr>
      </w:pPr>
      <w:r w:rsidRPr="0090741A">
        <w:rPr>
          <w:sz w:val="22"/>
          <w:lang w:val="cs-CZ"/>
        </w:rPr>
        <w:t xml:space="preserve">Toto ustanovení deklaruje vůli Spojených států spolupracovat na mezinárodní scéně při úpravě postavení vojenských a bezpečnostních kontraktorů. Mezi otázky, které volají po alespoň částečně ujednocené úpravě je právě výše zmíněná otázka odpovědnosti kontraktorů. </w:t>
      </w:r>
    </w:p>
    <w:p w14:paraId="50622B90" w14:textId="7FC07BF9" w:rsidR="00EB160B" w:rsidRPr="0090741A" w:rsidRDefault="00EB160B" w:rsidP="00EB160B">
      <w:pPr>
        <w:pStyle w:val="Nadpis2"/>
        <w:rPr>
          <w:sz w:val="22"/>
          <w:lang w:val="cs-CZ"/>
        </w:rPr>
      </w:pPr>
      <w:r w:rsidRPr="0090741A">
        <w:rPr>
          <w:sz w:val="22"/>
          <w:lang w:val="cs-CZ"/>
        </w:rPr>
        <w:t xml:space="preserve">Hlava V </w:t>
      </w:r>
      <w:bookmarkStart w:id="0" w:name="_GoBack"/>
      <w:bookmarkEnd w:id="0"/>
    </w:p>
    <w:p w14:paraId="223FAC44" w14:textId="052EF5E9" w:rsidR="005E6F60" w:rsidRPr="0090741A" w:rsidRDefault="00EB160B" w:rsidP="00EB160B">
      <w:pPr>
        <w:rPr>
          <w:b/>
          <w:sz w:val="22"/>
          <w:u w:val="single"/>
          <w:lang w:val="cs-CZ"/>
        </w:rPr>
      </w:pPr>
      <w:r w:rsidRPr="0090741A">
        <w:rPr>
          <w:b/>
          <w:sz w:val="22"/>
          <w:u w:val="single"/>
          <w:lang w:val="cs-CZ"/>
        </w:rPr>
        <w:t xml:space="preserve">Par. 501. </w:t>
      </w:r>
    </w:p>
    <w:p w14:paraId="759C90E2" w14:textId="6F1C24EC" w:rsidR="00EB160B" w:rsidRPr="0090741A" w:rsidRDefault="005E6F60" w:rsidP="005E6F60">
      <w:pPr>
        <w:rPr>
          <w:sz w:val="22"/>
          <w:lang w:val="cs-CZ"/>
        </w:rPr>
      </w:pPr>
      <w:r w:rsidRPr="0090741A">
        <w:rPr>
          <w:sz w:val="22"/>
          <w:lang w:val="cs-CZ"/>
        </w:rPr>
        <w:t xml:space="preserve">Vzhledem k důležitosti této úpravy je počátek účinnosti tohoto zákona stanoven již na 1. 1. 2019. </w:t>
      </w:r>
    </w:p>
    <w:sectPr w:rsidR="00EB160B" w:rsidRPr="0090741A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7E620" w14:textId="77777777" w:rsidR="00104CE9" w:rsidRDefault="00104CE9" w:rsidP="00E14C9D">
      <w:pPr>
        <w:spacing w:after="0" w:line="240" w:lineRule="auto"/>
      </w:pPr>
      <w:r>
        <w:separator/>
      </w:r>
    </w:p>
  </w:endnote>
  <w:endnote w:type="continuationSeparator" w:id="0">
    <w:p w14:paraId="56DE6D2F" w14:textId="77777777" w:rsidR="00104CE9" w:rsidRDefault="00104CE9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50538C7A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5B53E4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Jakub Lorenc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5B53E4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    <v:textbox>
                <w:txbxContent>
                  <w:p w14:paraId="4BAD5B43" w14:textId="50538C7A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5B53E4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Jakub Lorenc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5B53E4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4F52" w14:textId="77777777" w:rsidR="00104CE9" w:rsidRDefault="00104CE9" w:rsidP="00E14C9D">
      <w:pPr>
        <w:spacing w:after="0" w:line="240" w:lineRule="auto"/>
      </w:pPr>
      <w:r>
        <w:separator/>
      </w:r>
    </w:p>
  </w:footnote>
  <w:footnote w:type="continuationSeparator" w:id="0">
    <w:p w14:paraId="47B5A3B0" w14:textId="77777777" w:rsidR="00104CE9" w:rsidRDefault="00104CE9" w:rsidP="00E14C9D">
      <w:pPr>
        <w:spacing w:after="0" w:line="240" w:lineRule="auto"/>
      </w:pPr>
      <w:r>
        <w:continuationSeparator/>
      </w:r>
    </w:p>
  </w:footnote>
  <w:footnote w:id="1">
    <w:p w14:paraId="19A62C80" w14:textId="7D5AAF4F" w:rsidR="00B020B3" w:rsidRPr="00B020B3" w:rsidRDefault="00B020B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dostupně např. na </w:t>
      </w:r>
      <w:hyperlink r:id="rId1" w:history="1">
        <w:r w:rsidRPr="005842C5">
          <w:rPr>
            <w:rStyle w:val="Hypertextovodkaz"/>
            <w:lang w:val="cs-CZ"/>
          </w:rPr>
          <w:t>https://www.law.cornell.edu/uscode/text/10/101</w:t>
        </w:r>
      </w:hyperlink>
      <w:r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 w15:restartNumberingAfterBreak="0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6BCA"/>
    <w:rsid w:val="00047B7E"/>
    <w:rsid w:val="00050369"/>
    <w:rsid w:val="0005189B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04CE9"/>
    <w:rsid w:val="001166D8"/>
    <w:rsid w:val="00122771"/>
    <w:rsid w:val="00135079"/>
    <w:rsid w:val="00136844"/>
    <w:rsid w:val="0015528C"/>
    <w:rsid w:val="00170529"/>
    <w:rsid w:val="001754C6"/>
    <w:rsid w:val="00190E0B"/>
    <w:rsid w:val="001A3ABF"/>
    <w:rsid w:val="001A65B3"/>
    <w:rsid w:val="001A67D3"/>
    <w:rsid w:val="001B1D34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5518E"/>
    <w:rsid w:val="00261737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0927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42E6"/>
    <w:rsid w:val="0039705D"/>
    <w:rsid w:val="003A7812"/>
    <w:rsid w:val="003B2496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01ED"/>
    <w:rsid w:val="00590A69"/>
    <w:rsid w:val="00594CBF"/>
    <w:rsid w:val="00595C1B"/>
    <w:rsid w:val="005A13AF"/>
    <w:rsid w:val="005A2032"/>
    <w:rsid w:val="005A5CA7"/>
    <w:rsid w:val="005B53E4"/>
    <w:rsid w:val="005E6F60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4650B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0741A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020B3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0D84"/>
    <w:rsid w:val="00EA3932"/>
    <w:rsid w:val="00EA3EA4"/>
    <w:rsid w:val="00EA5C3A"/>
    <w:rsid w:val="00EB160B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1A65B3"/>
    <w:rPr>
      <w:rFonts w:eastAsia="MS PGothic"/>
      <w:b/>
      <w:sz w:val="24"/>
      <w:lang w:eastAsia="ja-JP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NzevChar">
    <w:name w:val="Název Char"/>
    <w:link w:val="Nzev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.cornell.edu/uscode/text/10/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7887E-83D4-407F-85B0-E711851230E3}"/>
</file>

<file path=customXml/itemProps4.xml><?xml version="1.0" encoding="utf-8"?>
<ds:datastoreItem xmlns:ds="http://schemas.openxmlformats.org/officeDocument/2006/customXml" ds:itemID="{0DDA4B00-06D7-426F-8E00-64573926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HP</cp:lastModifiedBy>
  <cp:revision>7</cp:revision>
  <dcterms:created xsi:type="dcterms:W3CDTF">2018-02-07T18:06:00Z</dcterms:created>
  <dcterms:modified xsi:type="dcterms:W3CDTF">2018-02-11T21:11:00Z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